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4"/>
          <w:szCs w:val="24"/>
        </w:rPr>
        <w:t>《汉字文化校本课程开发与实践研究》成果简介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</w:rPr>
        <w:t>成果完成人：李万里、寇爽、刘福波、管庆文、何子斌、黄三红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</w:rPr>
        <w:t>成果简介：该成果秉持“完成培养识字兴趣等目标、培养学生发展核心素养、加强新时代爱国主义教育”价值理念，着力解决“学生学习汉字时缺乏识字兴趣、难以树立文化自信、难以增强民族自豪感、难以形成独立识字能力”的问题，研究出汉字文化校本课程“设置目标、开发内容、实施策略、评价方案”等开发理论，开发出“《汉字的奥秘》网络教材、《汉字奥秘》电子教材、《汉字奥秘》文本教材”等“三位一体”的校本教材。该成果目前在新乡市、郑州市、开封市、驻马店市、信阳市等5个省辖市使用，成效显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41ACF"/>
    <w:rsid w:val="61A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2021-08-18T02:10:00Z</dcterms:created>
  <dc:creator>think</dc:creator>
  <cp:lastModifiedBy>think</cp:lastModifiedBy>
  <dcterms:modified xsi:type="dcterms:W3CDTF">2021-08-18T02:14:28Z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