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55" w:rsidRDefault="00B345D1" w:rsidP="00DC1640">
      <w:pPr>
        <w:widowControl/>
        <w:spacing w:line="600" w:lineRule="exact"/>
        <w:jc w:val="center"/>
        <w:rPr>
          <w:rStyle w:val="14"/>
          <w:rFonts w:ascii="黑体" w:eastAsia="黑体" w:hAnsi="黑体" w:cs="方正小标宋简体"/>
          <w:bCs w:val="0"/>
          <w:color w:val="000000" w:themeColor="text1"/>
          <w:spacing w:val="-11"/>
          <w:kern w:val="0"/>
          <w:sz w:val="40"/>
          <w:szCs w:val="44"/>
        </w:rPr>
      </w:pPr>
      <w:bookmarkStart w:id="0" w:name="_Toc144870465"/>
      <w:bookmarkEnd w:id="0"/>
      <w:r w:rsidRPr="00DC1640">
        <w:rPr>
          <w:rStyle w:val="14"/>
          <w:rFonts w:ascii="黑体" w:eastAsia="黑体" w:hAnsi="黑体" w:cs="方正小标宋简体" w:hint="eastAsia"/>
          <w:bCs w:val="0"/>
          <w:color w:val="000000" w:themeColor="text1"/>
          <w:spacing w:val="-11"/>
          <w:kern w:val="0"/>
          <w:sz w:val="40"/>
          <w:szCs w:val="44"/>
        </w:rPr>
        <w:t>河</w:t>
      </w:r>
      <w:r w:rsidR="00DC1640" w:rsidRPr="00DC1640">
        <w:rPr>
          <w:rStyle w:val="14"/>
          <w:rFonts w:ascii="黑体" w:eastAsia="黑体" w:hAnsi="黑体" w:cs="方正小标宋简体" w:hint="eastAsia"/>
          <w:bCs w:val="0"/>
          <w:color w:val="000000" w:themeColor="text1"/>
          <w:spacing w:val="-11"/>
          <w:kern w:val="0"/>
          <w:sz w:val="40"/>
          <w:szCs w:val="44"/>
        </w:rPr>
        <w:t>南师范大学</w:t>
      </w:r>
      <w:r w:rsidR="007E0A29" w:rsidRPr="00DC1640">
        <w:rPr>
          <w:rStyle w:val="14"/>
          <w:rFonts w:ascii="黑体" w:eastAsia="黑体" w:hAnsi="黑体" w:cs="方正小标宋简体" w:hint="eastAsia"/>
          <w:bCs w:val="0"/>
          <w:color w:val="000000" w:themeColor="text1"/>
          <w:spacing w:val="-11"/>
          <w:kern w:val="0"/>
          <w:sz w:val="40"/>
          <w:szCs w:val="44"/>
        </w:rPr>
        <w:t>希望奖学金</w:t>
      </w:r>
      <w:r w:rsidR="007E0A29" w:rsidRPr="00DC1640">
        <w:rPr>
          <w:rStyle w:val="14"/>
          <w:rFonts w:ascii="黑体" w:eastAsia="黑体" w:hAnsi="黑体" w:cs="宋体" w:hint="eastAsia"/>
          <w:bCs w:val="0"/>
          <w:color w:val="000000" w:themeColor="text1"/>
          <w:spacing w:val="-11"/>
          <w:kern w:val="0"/>
          <w:sz w:val="40"/>
          <w:szCs w:val="44"/>
        </w:rPr>
        <w:t>（</w:t>
      </w:r>
      <w:r w:rsidR="007E0A29" w:rsidRPr="00DC1640">
        <w:rPr>
          <w:rStyle w:val="14"/>
          <w:rFonts w:ascii="黑体" w:eastAsia="黑体" w:hAnsi="黑体" w:cs="方正小标宋简体" w:hint="eastAsia"/>
          <w:bCs w:val="0"/>
          <w:color w:val="000000" w:themeColor="text1"/>
          <w:spacing w:val="-11"/>
          <w:kern w:val="0"/>
          <w:sz w:val="40"/>
          <w:szCs w:val="44"/>
        </w:rPr>
        <w:t>学业</w:t>
      </w:r>
      <w:r w:rsidR="007E0A29" w:rsidRPr="00DC1640">
        <w:rPr>
          <w:rStyle w:val="14"/>
          <w:rFonts w:ascii="黑体" w:eastAsia="黑体" w:hAnsi="黑体" w:cs="宋体" w:hint="eastAsia"/>
          <w:bCs w:val="0"/>
          <w:color w:val="000000" w:themeColor="text1"/>
          <w:spacing w:val="-11"/>
          <w:kern w:val="0"/>
          <w:sz w:val="40"/>
          <w:szCs w:val="44"/>
        </w:rPr>
        <w:t>）</w:t>
      </w:r>
      <w:r w:rsidR="00DC1640" w:rsidRPr="00DC1640">
        <w:rPr>
          <w:rStyle w:val="14"/>
          <w:rFonts w:ascii="黑体" w:eastAsia="黑体" w:hAnsi="黑体" w:cs="方正小标宋简体" w:hint="eastAsia"/>
          <w:bCs w:val="0"/>
          <w:color w:val="000000" w:themeColor="text1"/>
          <w:spacing w:val="-11"/>
          <w:kern w:val="0"/>
          <w:sz w:val="40"/>
          <w:szCs w:val="44"/>
        </w:rPr>
        <w:t>管理办法</w:t>
      </w:r>
    </w:p>
    <w:p w:rsidR="00DC1640" w:rsidRPr="00DC1640" w:rsidRDefault="00DC1640" w:rsidP="00DC1640">
      <w:pPr>
        <w:widowControl/>
        <w:spacing w:line="600" w:lineRule="exact"/>
        <w:jc w:val="center"/>
        <w:rPr>
          <w:rStyle w:val="14"/>
          <w:rFonts w:ascii="黑体" w:eastAsia="黑体" w:hAnsi="黑体" w:cs="方正小标宋简体"/>
          <w:bCs w:val="0"/>
          <w:color w:val="000000" w:themeColor="text1"/>
          <w:spacing w:val="-11"/>
          <w:kern w:val="0"/>
          <w:sz w:val="40"/>
          <w:szCs w:val="44"/>
        </w:rPr>
      </w:pPr>
    </w:p>
    <w:p w:rsidR="00342955" w:rsidRDefault="00B345D1">
      <w:pPr>
        <w:widowControl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第一条  奖项设立</w:t>
      </w:r>
    </w:p>
    <w:p w:rsidR="00342955" w:rsidRPr="00EC2F11" w:rsidRDefault="00B345D1" w:rsidP="00EC2F11">
      <w:pPr>
        <w:widowControl/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C2F11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杞县希望学校在我校设立“希望奖学金</w:t>
      </w:r>
      <w:r w:rsid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（学业）</w:t>
      </w:r>
      <w:r w:rsidRPr="00EC2F11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”，用于奖励资助我校品学兼优</w:t>
      </w:r>
      <w:r w:rsidR="00C53152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或家庭经济困难的全日制本科生和研究生</w:t>
      </w:r>
      <w:r w:rsidRPr="00EC2F11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，激励其勤奋学习、努力进取，</w:t>
      </w:r>
      <w:r w:rsidR="00DC1640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促进学生</w:t>
      </w:r>
      <w:r w:rsidRPr="00EC2F11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德、智、体、美、劳全面发展。</w:t>
      </w:r>
    </w:p>
    <w:p w:rsidR="00342955" w:rsidRDefault="00B345D1">
      <w:pPr>
        <w:widowControl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第二条  奖励标准</w:t>
      </w:r>
    </w:p>
    <w:p w:rsidR="00342955" w:rsidRPr="007E0A29" w:rsidRDefault="00B345D1" w:rsidP="007E0A29">
      <w:pPr>
        <w:widowControl/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每生每年</w:t>
      </w:r>
      <w:r w:rsidRPr="007E0A29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2000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元。</w:t>
      </w:r>
    </w:p>
    <w:p w:rsidR="00342955" w:rsidRDefault="00B345D1">
      <w:pPr>
        <w:widowControl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第三条  奖励对象</w:t>
      </w:r>
    </w:p>
    <w:p w:rsidR="00342955" w:rsidRPr="007E0A29" w:rsidRDefault="00B345D1" w:rsidP="007E0A29">
      <w:pPr>
        <w:widowControl/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全日制</w:t>
      </w:r>
      <w:r w:rsidR="007E0A29"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在校</w:t>
      </w:r>
      <w:r w:rsidR="008A03F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大二学生</w:t>
      </w:r>
      <w:r w:rsidR="007E0A29"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20名</w:t>
      </w:r>
      <w:r w:rsid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，</w:t>
      </w:r>
      <w:r w:rsidR="007E0A29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 w:bidi="ar"/>
        </w:rPr>
        <w:t>全日制非定向</w:t>
      </w:r>
      <w:proofErr w:type="gramStart"/>
      <w:r w:rsidR="008A03FF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 w:bidi="ar"/>
        </w:rPr>
        <w:t>研</w:t>
      </w:r>
      <w:proofErr w:type="gramEnd"/>
      <w:r w:rsidR="008A03FF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 w:bidi="ar"/>
        </w:rPr>
        <w:t>二学生</w:t>
      </w:r>
      <w:r w:rsidR="007E0A29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 w:bidi="ar"/>
        </w:rPr>
        <w:t>1</w:t>
      </w:r>
      <w:r w:rsidR="00397B6F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 w:bidi="ar"/>
        </w:rPr>
        <w:t>2</w:t>
      </w:r>
      <w:r w:rsidR="007E0A29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 w:bidi="ar"/>
        </w:rPr>
        <w:t>名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。</w:t>
      </w:r>
    </w:p>
    <w:p w:rsidR="00EF2D56" w:rsidRDefault="00B345D1">
      <w:pPr>
        <w:widowControl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第四条  评选条件</w:t>
      </w:r>
      <w:r w:rsidR="00EF2D56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及要求</w:t>
      </w:r>
    </w:p>
    <w:p w:rsidR="00342955" w:rsidRDefault="009E01FB">
      <w:pPr>
        <w:widowControl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1</w:t>
      </w:r>
      <w:r w:rsidR="00EF2D56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、</w:t>
      </w:r>
      <w:r w:rsidR="008A03FF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评选</w:t>
      </w:r>
      <w:r w:rsidR="00EF2D56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条件</w:t>
      </w:r>
      <w:r w:rsidR="00B345D1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 xml:space="preserve"> </w:t>
      </w:r>
    </w:p>
    <w:p w:rsidR="00342955" w:rsidRPr="007E0A29" w:rsidRDefault="00B345D1" w:rsidP="007E0A29">
      <w:pPr>
        <w:widowControl/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</w:t>
      </w:r>
      <w:r w:rsid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1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 xml:space="preserve">）具有中华人民共和国国籍； </w:t>
      </w:r>
    </w:p>
    <w:p w:rsidR="00342955" w:rsidRPr="007E0A29" w:rsidRDefault="00B345D1" w:rsidP="007E0A29">
      <w:pPr>
        <w:widowControl/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</w:t>
      </w:r>
      <w:r w:rsid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2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）热爱祖国，拥护中国共产党的领导</w:t>
      </w:r>
      <w:r w:rsid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，尊敬师长，团结同学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 xml:space="preserve">； </w:t>
      </w:r>
    </w:p>
    <w:p w:rsidR="00342955" w:rsidRPr="007E0A29" w:rsidRDefault="00B345D1" w:rsidP="007E0A29">
      <w:pPr>
        <w:widowControl/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</w:t>
      </w:r>
      <w:r w:rsid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3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）遵守宪法和法律，遵守学校规章制度</w:t>
      </w:r>
      <w:r w:rsid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，</w:t>
      </w:r>
      <w:r w:rsidR="007E0A29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 w:bidi="ar"/>
        </w:rPr>
        <w:t>无违反校规校纪的现象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 xml:space="preserve">； </w:t>
      </w:r>
    </w:p>
    <w:p w:rsidR="00342955" w:rsidRPr="007E0A29" w:rsidRDefault="00B345D1" w:rsidP="007E0A29">
      <w:pPr>
        <w:widowControl/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</w:t>
      </w:r>
      <w:r w:rsid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4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）诚实守信，</w:t>
      </w:r>
      <w:r w:rsidR="007E0A29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 w:bidi="ar"/>
        </w:rPr>
        <w:t>乐于助人，积极参加社会实践和公益活动，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 xml:space="preserve">道德品质优良； </w:t>
      </w:r>
    </w:p>
    <w:p w:rsidR="00342955" w:rsidRPr="007E0A29" w:rsidRDefault="00B345D1" w:rsidP="007E0A29">
      <w:pPr>
        <w:widowControl/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</w:t>
      </w:r>
      <w:r w:rsid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5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）</w:t>
      </w:r>
      <w:r w:rsidR="008A03F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家庭经济困难，</w:t>
      </w:r>
      <w:r w:rsidR="00C53152"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生活俭朴</w:t>
      </w:r>
      <w:r w:rsidR="00C53152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，</w:t>
      </w:r>
      <w:r w:rsid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乐观进取，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在校期间学习成绩</w:t>
      </w:r>
      <w:r w:rsidR="0063385D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优秀</w:t>
      </w:r>
      <w:r w:rsid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，</w:t>
      </w:r>
      <w:proofErr w:type="gramStart"/>
      <w:r w:rsid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无挂科现象</w:t>
      </w:r>
      <w:proofErr w:type="gramEnd"/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 xml:space="preserve">； </w:t>
      </w:r>
    </w:p>
    <w:p w:rsidR="00EF2D56" w:rsidRDefault="009E01FB">
      <w:pPr>
        <w:widowControl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2、</w:t>
      </w:r>
      <w:r w:rsidR="00EF2D56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评选要求</w:t>
      </w:r>
    </w:p>
    <w:p w:rsidR="00342955" w:rsidRDefault="00B345D1" w:rsidP="00EF2D56">
      <w:pPr>
        <w:widowControl/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 xml:space="preserve">在符合基本条件的前提下，申请人还应满足以下具体条件： </w:t>
      </w:r>
    </w:p>
    <w:p w:rsidR="00EF2D56" w:rsidRDefault="00EF2D56" w:rsidP="00EF2D56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楷体"/>
          <w:color w:val="000000" w:themeColor="text1"/>
          <w:kern w:val="0"/>
          <w:sz w:val="32"/>
          <w:szCs w:val="32"/>
          <w:lang w:bidi="ar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  <w:lang w:bidi="ar"/>
        </w:rPr>
        <w:lastRenderedPageBreak/>
        <w:t>（</w:t>
      </w:r>
      <w:r w:rsidR="009E01FB"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  <w:lang w:bidi="ar"/>
        </w:rPr>
        <w:t>1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  <w:lang w:bidi="ar"/>
        </w:rPr>
        <w:t>）本科生学业要求：</w:t>
      </w:r>
    </w:p>
    <w:p w:rsidR="00EF2D56" w:rsidRPr="007E0A29" w:rsidRDefault="00EF2D56" w:rsidP="00EF2D56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智育成绩排名与综合考评成绩排名均位于前25%（含 25%）</w:t>
      </w:r>
      <w:r w:rsidR="00C53152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。</w:t>
      </w:r>
    </w:p>
    <w:p w:rsidR="00EF2D56" w:rsidRPr="00EF2D56" w:rsidRDefault="00EF2D56" w:rsidP="00EF2D56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楷体"/>
          <w:color w:val="000000" w:themeColor="text1"/>
          <w:kern w:val="0"/>
          <w:sz w:val="32"/>
          <w:szCs w:val="32"/>
          <w:lang w:bidi="ar"/>
        </w:rPr>
      </w:pPr>
      <w:r w:rsidRPr="00EF2D56">
        <w:rPr>
          <w:rFonts w:ascii="楷体" w:eastAsia="楷体" w:hAnsi="楷体" w:cs="楷体"/>
          <w:color w:val="000000" w:themeColor="text1"/>
          <w:kern w:val="0"/>
          <w:sz w:val="32"/>
          <w:szCs w:val="32"/>
          <w:lang w:bidi="ar"/>
        </w:rPr>
        <w:t>（</w:t>
      </w:r>
      <w:r w:rsidR="009E01FB"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  <w:lang w:bidi="ar"/>
        </w:rPr>
        <w:t>2</w:t>
      </w:r>
      <w:r w:rsidRPr="00EF2D56">
        <w:rPr>
          <w:rFonts w:ascii="楷体" w:eastAsia="楷体" w:hAnsi="楷体" w:cs="楷体"/>
          <w:color w:val="000000" w:themeColor="text1"/>
          <w:kern w:val="0"/>
          <w:sz w:val="32"/>
          <w:szCs w:val="32"/>
          <w:lang w:bidi="ar"/>
        </w:rPr>
        <w:t>）研究生学业要求：</w:t>
      </w:r>
    </w:p>
    <w:p w:rsidR="00EF2D56" w:rsidRPr="00EF2D56" w:rsidRDefault="00EF2D56" w:rsidP="00EF2D56">
      <w:pPr>
        <w:widowControl/>
        <w:shd w:val="clear" w:color="auto" w:fill="FFFFFF"/>
        <w:spacing w:after="165" w:line="555" w:lineRule="atLeast"/>
        <w:ind w:firstLine="645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F2D56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1.修完本专业培养方案所规定的各门课程或规定的总学分，并且50%课程考试成绩在85分以上（含85分）；（附成绩单和比例，并加盖学院公章）</w:t>
      </w:r>
    </w:p>
    <w:p w:rsidR="00EF2D56" w:rsidRDefault="00EF2D56" w:rsidP="00EF2D56">
      <w:pPr>
        <w:widowControl/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F2D56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2.积极参加各类专业</w:t>
      </w:r>
      <w:proofErr w:type="gramStart"/>
      <w:r w:rsidRPr="00EF2D56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性教学</w:t>
      </w:r>
      <w:proofErr w:type="gramEnd"/>
      <w:r w:rsidRPr="00EF2D56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技能竞赛（综合或单项），获得“田家炳杯”等国家级三等奖及以上、校级一等及以上奖励</w:t>
      </w:r>
      <w:r w:rsidR="00C53152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；</w:t>
      </w:r>
      <w:r w:rsidRPr="00EF2D56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或具有一定教学教研能力，在本专业核心期刊上发表学术论文。</w:t>
      </w:r>
    </w:p>
    <w:p w:rsidR="00EF2D56" w:rsidRPr="00EF2D56" w:rsidRDefault="00EF2D56" w:rsidP="00EF2D56">
      <w:pPr>
        <w:widowControl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第五条  奖励名额</w:t>
      </w:r>
    </w:p>
    <w:p w:rsidR="00342955" w:rsidRDefault="00B345D1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楷体"/>
          <w:color w:val="000000" w:themeColor="text1"/>
          <w:kern w:val="0"/>
          <w:sz w:val="32"/>
          <w:szCs w:val="32"/>
          <w:lang w:bidi="ar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  <w:lang w:bidi="ar"/>
        </w:rPr>
        <w:t>（</w:t>
      </w:r>
      <w:r w:rsidR="009E01FB"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  <w:lang w:bidi="ar"/>
        </w:rPr>
        <w:t>1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  <w:lang w:bidi="ar"/>
        </w:rPr>
        <w:t>）</w:t>
      </w:r>
      <w:r w:rsidR="00EF2D56"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  <w:lang w:bidi="ar"/>
        </w:rPr>
        <w:t>本科生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  <w:lang w:bidi="ar"/>
        </w:rPr>
        <w:t>院系及专业要求：</w:t>
      </w:r>
    </w:p>
    <w:p w:rsidR="00342955" w:rsidRPr="007E0A29" w:rsidRDefault="00B345D1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1.马克思主义学院：思想政治教育</w:t>
      </w:r>
      <w:r w:rsidR="00EF2D56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 xml:space="preserve">  </w:t>
      </w:r>
    </w:p>
    <w:p w:rsidR="00342955" w:rsidRPr="007E0A29" w:rsidRDefault="00B345D1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2.文学院：汉语言文学</w:t>
      </w:r>
    </w:p>
    <w:p w:rsidR="00342955" w:rsidRPr="007E0A29" w:rsidRDefault="00B345D1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3.外国语学院：英语</w:t>
      </w:r>
    </w:p>
    <w:p w:rsidR="00342955" w:rsidRPr="007E0A29" w:rsidRDefault="00B345D1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4.历史文化学院：历史学</w:t>
      </w:r>
    </w:p>
    <w:p w:rsidR="00342955" w:rsidRPr="007E0A29" w:rsidRDefault="00B345D1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5.化学化工学院：化学</w:t>
      </w:r>
    </w:p>
    <w:p w:rsidR="00342955" w:rsidRPr="007E0A29" w:rsidRDefault="00B345D1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6.生命科学学院：生物科学</w:t>
      </w:r>
    </w:p>
    <w:p w:rsidR="00342955" w:rsidRPr="007E0A29" w:rsidRDefault="00B345D1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7.数学与信息科学学院：数学与应用数学</w:t>
      </w:r>
    </w:p>
    <w:p w:rsidR="00342955" w:rsidRPr="007E0A29" w:rsidRDefault="00B345D1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8.旅游学院：地理科学</w:t>
      </w:r>
    </w:p>
    <w:p w:rsidR="00342955" w:rsidRDefault="00B345D1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9.物理学院:物理学、光电信息工程两个专业</w:t>
      </w:r>
    </w:p>
    <w:p w:rsidR="00EF2D56" w:rsidRDefault="00EF2D56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以上九个学院(10个专业)，每个</w:t>
      </w:r>
      <w:r w:rsidR="008A03F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专业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2名学生。</w:t>
      </w:r>
    </w:p>
    <w:p w:rsidR="00EF2D56" w:rsidRDefault="00EF2D56" w:rsidP="00EF2D56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楷体"/>
          <w:color w:val="000000" w:themeColor="text1"/>
          <w:kern w:val="0"/>
          <w:sz w:val="32"/>
          <w:szCs w:val="32"/>
          <w:lang w:bidi="ar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  <w:lang w:bidi="ar"/>
        </w:rPr>
        <w:lastRenderedPageBreak/>
        <w:t>（</w:t>
      </w:r>
      <w:r w:rsidR="009E01FB"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  <w:lang w:bidi="ar"/>
        </w:rPr>
        <w:t>2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  <w:lang w:bidi="ar"/>
        </w:rPr>
        <w:t>）研究生院系及专业要求：</w:t>
      </w:r>
    </w:p>
    <w:p w:rsidR="00EF2D56" w:rsidRPr="009E01FB" w:rsidRDefault="00EF2D56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1.</w:t>
      </w:r>
      <w:r w:rsidRPr="00EF2D56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 xml:space="preserve"> 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文学院：</w:t>
      </w:r>
      <w:r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学科教学（语文）</w:t>
      </w:r>
    </w:p>
    <w:p w:rsidR="00EF2D56" w:rsidRPr="009E01FB" w:rsidRDefault="00EF2D56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2.</w:t>
      </w:r>
      <w:r w:rsidRPr="00EF2D56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 xml:space="preserve"> 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数学与信息科学学院：</w:t>
      </w:r>
      <w:r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学科教学（数学）</w:t>
      </w:r>
    </w:p>
    <w:p w:rsidR="00EF2D56" w:rsidRPr="009E01FB" w:rsidRDefault="00EF2D56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3.</w:t>
      </w:r>
      <w:r w:rsidRPr="00EF2D56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 xml:space="preserve"> 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外国语学院：</w:t>
      </w:r>
      <w:r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学科教学（英语）</w:t>
      </w:r>
    </w:p>
    <w:p w:rsidR="00EF2D56" w:rsidRPr="009E01FB" w:rsidRDefault="00EF2D56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4.</w:t>
      </w:r>
      <w:r w:rsidR="009E01FB"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 xml:space="preserve"> </w:t>
      </w:r>
      <w:r w:rsidR="009E01FB"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物理学院:</w:t>
      </w:r>
      <w:r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学科教学（物理）</w:t>
      </w:r>
    </w:p>
    <w:p w:rsidR="00EF2D56" w:rsidRPr="009E01FB" w:rsidRDefault="00EF2D56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5.</w:t>
      </w:r>
      <w:r w:rsidR="009E01FB"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 xml:space="preserve"> 化学化工学院：</w:t>
      </w:r>
      <w:r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学科教学（化学）</w:t>
      </w:r>
    </w:p>
    <w:p w:rsidR="00EF2D56" w:rsidRPr="009E01FB" w:rsidRDefault="00EF2D56" w:rsidP="00EF2D56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6.</w:t>
      </w:r>
      <w:r w:rsidRPr="00EF2D56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 xml:space="preserve"> 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历史文化学院：</w:t>
      </w:r>
      <w:r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学科教学（历史），</w:t>
      </w:r>
    </w:p>
    <w:p w:rsidR="00342955" w:rsidRPr="007E0A29" w:rsidRDefault="00C53152" w:rsidP="00EF2D56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以上</w:t>
      </w:r>
      <w:r w:rsidR="00EF2D56"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每个专业各2名</w:t>
      </w:r>
      <w:r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学生</w:t>
      </w:r>
      <w:r w:rsidR="00EF2D56" w:rsidRPr="009E01FB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。</w:t>
      </w:r>
    </w:p>
    <w:p w:rsidR="00342955" w:rsidRDefault="00B345D1">
      <w:pPr>
        <w:widowControl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第六条  评奖办法</w:t>
      </w:r>
    </w:p>
    <w:p w:rsidR="00342955" w:rsidRPr="007E0A29" w:rsidRDefault="00B345D1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坚持公开、公平、公正、择优的原则，由个人申请，学院推荐，推荐人选名单公示3天，再由</w:t>
      </w:r>
      <w:r w:rsidR="00397B6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学校教育发展基金会、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学生资助服务中心</w:t>
      </w:r>
      <w:r w:rsidR="00323427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、党委研究生工作部分别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评审，评选结束公示5天。</w:t>
      </w:r>
    </w:p>
    <w:p w:rsidR="00342955" w:rsidRPr="007E0A29" w:rsidRDefault="00B345D1" w:rsidP="007E0A29">
      <w:pPr>
        <w:adjustRightInd w:val="0"/>
        <w:snapToGrid w:val="0"/>
        <w:spacing w:line="60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 xml:space="preserve">第七条  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本办法未尽事宜，由</w:t>
      </w:r>
      <w:r w:rsidR="00397B6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学校教育发展基金会、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学生资助服务中心</w:t>
      </w:r>
      <w:r w:rsidR="00323427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、党委研究生工作部</w:t>
      </w: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研究解决。</w:t>
      </w:r>
    </w:p>
    <w:p w:rsidR="00342955" w:rsidRPr="007E0A29" w:rsidRDefault="00342955" w:rsidP="007E0A2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</w:p>
    <w:p w:rsidR="00342955" w:rsidRDefault="00342955">
      <w:pPr>
        <w:widowControl/>
        <w:adjustRightInd w:val="0"/>
        <w:snapToGrid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342955" w:rsidRPr="007E0A29" w:rsidRDefault="00B345D1" w:rsidP="007E0A29">
      <w:pPr>
        <w:adjustRightInd w:val="0"/>
        <w:snapToGrid w:val="0"/>
        <w:spacing w:line="600" w:lineRule="exact"/>
        <w:ind w:firstLineChars="200" w:firstLine="560"/>
        <w:jc w:val="right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河南师范大学</w:t>
      </w:r>
      <w:r w:rsidR="00397B6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希望奖学金评审委员会</w:t>
      </w:r>
    </w:p>
    <w:p w:rsidR="00342955" w:rsidRPr="007E0A29" w:rsidRDefault="007E0A29" w:rsidP="007E0A29">
      <w:pPr>
        <w:adjustRightInd w:val="0"/>
        <w:snapToGrid w:val="0"/>
        <w:spacing w:line="600" w:lineRule="exact"/>
        <w:ind w:firstLineChars="200" w:firstLine="560"/>
        <w:jc w:val="right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2023</w:t>
      </w:r>
      <w:r w:rsidR="00B345D1"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年</w:t>
      </w:r>
      <w:r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1</w:t>
      </w:r>
      <w:r w:rsidR="007E504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2</w:t>
      </w:r>
      <w:bookmarkStart w:id="1" w:name="_GoBack"/>
      <w:bookmarkEnd w:id="1"/>
      <w:r w:rsidR="00B345D1" w:rsidRPr="007E0A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月</w:t>
      </w:r>
    </w:p>
    <w:sectPr w:rsidR="00342955" w:rsidRPr="007E0A29">
      <w:pgSz w:w="11850" w:h="16783"/>
      <w:pgMar w:top="170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D1" w:rsidRDefault="005F73D1" w:rsidP="00EC2F11">
      <w:r>
        <w:separator/>
      </w:r>
    </w:p>
  </w:endnote>
  <w:endnote w:type="continuationSeparator" w:id="0">
    <w:p w:rsidR="005F73D1" w:rsidRDefault="005F73D1" w:rsidP="00EC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09F1CA5-6B25-42C6-937A-5E229CA7BD9D}"/>
    <w:embedBold r:id="rId2" w:subsetted="1" w:fontKey="{07B779BE-C162-40C1-85F8-42F3F3322A9E}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0F509EA-2A4C-4684-80BE-652438EFC45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D1" w:rsidRDefault="005F73D1" w:rsidP="00EC2F11">
      <w:r>
        <w:separator/>
      </w:r>
    </w:p>
  </w:footnote>
  <w:footnote w:type="continuationSeparator" w:id="0">
    <w:p w:rsidR="005F73D1" w:rsidRDefault="005F73D1" w:rsidP="00EC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NDFmMGQwZGYzNDg0Yzc1NzJjYjgyYzMzN2YzYWYifQ=="/>
  </w:docVars>
  <w:rsids>
    <w:rsidRoot w:val="00796A80"/>
    <w:rsid w:val="00122000"/>
    <w:rsid w:val="002C1079"/>
    <w:rsid w:val="00323427"/>
    <w:rsid w:val="00342955"/>
    <w:rsid w:val="00397B6F"/>
    <w:rsid w:val="004F3C22"/>
    <w:rsid w:val="00536E47"/>
    <w:rsid w:val="005F73D1"/>
    <w:rsid w:val="0063385D"/>
    <w:rsid w:val="00796A80"/>
    <w:rsid w:val="007E0A29"/>
    <w:rsid w:val="007E5049"/>
    <w:rsid w:val="008A03FF"/>
    <w:rsid w:val="009E01FB"/>
    <w:rsid w:val="00A65FA9"/>
    <w:rsid w:val="00B345D1"/>
    <w:rsid w:val="00BC778C"/>
    <w:rsid w:val="00C53152"/>
    <w:rsid w:val="00DC1640"/>
    <w:rsid w:val="00DC7C1D"/>
    <w:rsid w:val="00E92E70"/>
    <w:rsid w:val="00EC2F11"/>
    <w:rsid w:val="00EF2D56"/>
    <w:rsid w:val="0D181FDD"/>
    <w:rsid w:val="0F0E6A09"/>
    <w:rsid w:val="0F9F052D"/>
    <w:rsid w:val="10FB5E9E"/>
    <w:rsid w:val="116577BB"/>
    <w:rsid w:val="12723F3D"/>
    <w:rsid w:val="1804388A"/>
    <w:rsid w:val="1A6A7BF0"/>
    <w:rsid w:val="1D190712"/>
    <w:rsid w:val="1DE32193"/>
    <w:rsid w:val="22F10EAE"/>
    <w:rsid w:val="27602AA7"/>
    <w:rsid w:val="2B0D0850"/>
    <w:rsid w:val="310B75DF"/>
    <w:rsid w:val="323C15FD"/>
    <w:rsid w:val="328D4906"/>
    <w:rsid w:val="33EA5BD2"/>
    <w:rsid w:val="35690D78"/>
    <w:rsid w:val="35FA5E74"/>
    <w:rsid w:val="36407D2B"/>
    <w:rsid w:val="37403D5B"/>
    <w:rsid w:val="37826121"/>
    <w:rsid w:val="39ED1F78"/>
    <w:rsid w:val="3BD3519D"/>
    <w:rsid w:val="3CB168C4"/>
    <w:rsid w:val="41F61BE6"/>
    <w:rsid w:val="420C79CD"/>
    <w:rsid w:val="42277FF1"/>
    <w:rsid w:val="4574354D"/>
    <w:rsid w:val="4A084BAC"/>
    <w:rsid w:val="4A8E6E5F"/>
    <w:rsid w:val="4B906C07"/>
    <w:rsid w:val="4D926C66"/>
    <w:rsid w:val="511A2CA9"/>
    <w:rsid w:val="52287B99"/>
    <w:rsid w:val="557355CF"/>
    <w:rsid w:val="55C776C9"/>
    <w:rsid w:val="56BA0FDC"/>
    <w:rsid w:val="571173F0"/>
    <w:rsid w:val="5765719A"/>
    <w:rsid w:val="58EE31BF"/>
    <w:rsid w:val="59CF4D9E"/>
    <w:rsid w:val="59D10B16"/>
    <w:rsid w:val="5A2473C4"/>
    <w:rsid w:val="5E4C4C10"/>
    <w:rsid w:val="5F1A6ABC"/>
    <w:rsid w:val="6252740D"/>
    <w:rsid w:val="626B1375"/>
    <w:rsid w:val="62AD7C47"/>
    <w:rsid w:val="63071A4D"/>
    <w:rsid w:val="647B22CC"/>
    <w:rsid w:val="653B778C"/>
    <w:rsid w:val="66E71979"/>
    <w:rsid w:val="69961435"/>
    <w:rsid w:val="69E563C8"/>
    <w:rsid w:val="6C39165D"/>
    <w:rsid w:val="6C7041BF"/>
    <w:rsid w:val="6D0C0D2E"/>
    <w:rsid w:val="6EC10D02"/>
    <w:rsid w:val="70390D6C"/>
    <w:rsid w:val="72541E8D"/>
    <w:rsid w:val="74B135C7"/>
    <w:rsid w:val="79087C1F"/>
    <w:rsid w:val="7F7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默认段落字体1"/>
    <w:semiHidden/>
    <w:qFormat/>
  </w:style>
  <w:style w:type="table" w:customStyle="1" w:styleId="10">
    <w:name w:val="普通表格1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文本缩进1"/>
    <w:basedOn w:val="a"/>
    <w:qFormat/>
    <w:pPr>
      <w:ind w:left="435"/>
    </w:pPr>
    <w:rPr>
      <w:sz w:val="28"/>
    </w:rPr>
  </w:style>
  <w:style w:type="paragraph" w:customStyle="1" w:styleId="21">
    <w:name w:val="正文文本缩进 21"/>
    <w:basedOn w:val="a"/>
    <w:qFormat/>
    <w:pPr>
      <w:tabs>
        <w:tab w:val="left" w:pos="1800"/>
      </w:tabs>
      <w:spacing w:line="360" w:lineRule="auto"/>
      <w:ind w:firstLineChars="200" w:firstLine="480"/>
    </w:pPr>
    <w:rPr>
      <w:sz w:val="24"/>
    </w:rPr>
  </w:style>
  <w:style w:type="paragraph" w:customStyle="1" w:styleId="12">
    <w:name w:val="页脚1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12"/>
    <w:qFormat/>
    <w:rPr>
      <w:kern w:val="2"/>
      <w:sz w:val="18"/>
      <w:szCs w:val="18"/>
    </w:rPr>
  </w:style>
  <w:style w:type="paragraph" w:customStyle="1" w:styleId="13">
    <w:name w:val="页眉1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13"/>
    <w:qFormat/>
    <w:rPr>
      <w:kern w:val="2"/>
      <w:sz w:val="18"/>
      <w:szCs w:val="18"/>
    </w:rPr>
  </w:style>
  <w:style w:type="character" w:customStyle="1" w:styleId="14">
    <w:name w:val="要点1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默认段落字体1"/>
    <w:semiHidden/>
    <w:qFormat/>
  </w:style>
  <w:style w:type="table" w:customStyle="1" w:styleId="10">
    <w:name w:val="普通表格1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文本缩进1"/>
    <w:basedOn w:val="a"/>
    <w:qFormat/>
    <w:pPr>
      <w:ind w:left="435"/>
    </w:pPr>
    <w:rPr>
      <w:sz w:val="28"/>
    </w:rPr>
  </w:style>
  <w:style w:type="paragraph" w:customStyle="1" w:styleId="21">
    <w:name w:val="正文文本缩进 21"/>
    <w:basedOn w:val="a"/>
    <w:qFormat/>
    <w:pPr>
      <w:tabs>
        <w:tab w:val="left" w:pos="1800"/>
      </w:tabs>
      <w:spacing w:line="360" w:lineRule="auto"/>
      <w:ind w:firstLineChars="200" w:firstLine="480"/>
    </w:pPr>
    <w:rPr>
      <w:sz w:val="24"/>
    </w:rPr>
  </w:style>
  <w:style w:type="paragraph" w:customStyle="1" w:styleId="12">
    <w:name w:val="页脚1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12"/>
    <w:qFormat/>
    <w:rPr>
      <w:kern w:val="2"/>
      <w:sz w:val="18"/>
      <w:szCs w:val="18"/>
    </w:rPr>
  </w:style>
  <w:style w:type="paragraph" w:customStyle="1" w:styleId="13">
    <w:name w:val="页眉1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13"/>
    <w:qFormat/>
    <w:rPr>
      <w:kern w:val="2"/>
      <w:sz w:val="18"/>
      <w:szCs w:val="18"/>
    </w:rPr>
  </w:style>
  <w:style w:type="character" w:customStyle="1" w:styleId="14">
    <w:name w:val="要点1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企业用户_851348386</dc:creator>
  <cp:lastModifiedBy>xt</cp:lastModifiedBy>
  <cp:revision>14</cp:revision>
  <dcterms:created xsi:type="dcterms:W3CDTF">2023-12-12T09:31:00Z</dcterms:created>
  <dcterms:modified xsi:type="dcterms:W3CDTF">2023-12-20T08:22:00Z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42D853B179B0424C82AB1621FDAB6F21_13</vt:lpwstr>
  </property>
</Properties>
</file>