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E237F" w:rsidRDefault="0069461F" w:rsidP="00EE0F3B">
      <w:pPr>
        <w:adjustRightInd w:val="0"/>
        <w:snapToGrid w:val="0"/>
        <w:spacing w:beforeLines="50" w:afterLines="50"/>
        <w:jc w:val="center"/>
        <w:rPr>
          <w:rFonts w:ascii="宋体" w:hAnsi="宋体"/>
          <w:b/>
          <w:sz w:val="44"/>
          <w:szCs w:val="44"/>
        </w:rPr>
      </w:pPr>
      <w:r>
        <w:rPr>
          <w:rFonts w:ascii="宋体" w:hAnsi="宋体" w:hint="eastAsia"/>
          <w:b/>
          <w:sz w:val="44"/>
          <w:szCs w:val="44"/>
        </w:rPr>
        <w:t>2016年度工作总结</w:t>
      </w:r>
    </w:p>
    <w:p w:rsidR="00BE237F" w:rsidRDefault="0069461F">
      <w:pPr>
        <w:jc w:val="center"/>
        <w:rPr>
          <w:rFonts w:ascii="楷体_GB2312" w:eastAsia="楷体_GB2312"/>
          <w:sz w:val="32"/>
          <w:szCs w:val="32"/>
        </w:rPr>
      </w:pPr>
      <w:r>
        <w:rPr>
          <w:rFonts w:ascii="楷体_GB2312" w:eastAsia="楷体_GB2312" w:hint="eastAsia"/>
          <w:sz w:val="32"/>
          <w:szCs w:val="32"/>
        </w:rPr>
        <w:t>法学院</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根据学校考核委员会关于年度考核工作的有关要求，现将一年来本单位各方面工作情况总结如下：</w:t>
      </w:r>
    </w:p>
    <w:p w:rsidR="00BE237F" w:rsidRDefault="0069461F">
      <w:pPr>
        <w:spacing w:line="460" w:lineRule="exact"/>
        <w:ind w:firstLineChars="200" w:firstLine="600"/>
        <w:rPr>
          <w:rFonts w:ascii="黑体" w:eastAsia="黑体"/>
          <w:sz w:val="30"/>
          <w:szCs w:val="30"/>
        </w:rPr>
      </w:pPr>
      <w:r>
        <w:rPr>
          <w:rFonts w:ascii="黑体" w:eastAsia="黑体" w:hint="eastAsia"/>
          <w:sz w:val="30"/>
          <w:szCs w:val="30"/>
        </w:rPr>
        <w:t>一、教学工作</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1. 推进日常教学管理工作</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顺利开展课堂教学、专业实习、毕业论文等教学环节，为学生培养质量的提高提供了有力保障。本年度两个学期的学生评教、中期教学检查结果和学校教学督导组反馈的意见显示，我院教师教学态度普遍比较端正，教学效果较好，优良率达到85％以上。</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2. 严肃教学纪律，强化教学督导，重视教师教学水平的提高</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制定学院教学督导方案，由学院领导参加，深入课堂，深入师生，对任课教师进行了20余次督导，将学院教学督导制度落实到位，对教师教学水平和教学质量的提高发挥了重要的引领作用。</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3. 教学研究与教学质量工程建设取得较好成绩</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重视教学研究和教学质量工程项目的建设，在教学研究和教育教学改革等项目上取得了较好的成绩。其中，1项省级教育教学改革项目获准立项，新增校级级教学成果奖一等奖1项，二等奖2项。</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4.组织和实施省级特色专业和卓越法律人才教育培养基地</w:t>
      </w:r>
      <w:r>
        <w:rPr>
          <w:rFonts w:ascii="楷体_GB2312" w:eastAsia="楷体_GB2312" w:hint="eastAsia"/>
          <w:sz w:val="30"/>
          <w:szCs w:val="30"/>
        </w:rPr>
        <w:lastRenderedPageBreak/>
        <w:t>的建设工作</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2012年，我院申报成功了省级特色专业（法学）和河南省首届卓越法律人才教育培养基地，本年度，围绕专业建设和基地建设的各项指标要求，从培养方案、实践教学、办学条件等方面开展了一系列工作，顺利完成了法学专业试点评估的材料准备工作。</w:t>
      </w:r>
      <w:r w:rsidRPr="003F23E0">
        <w:rPr>
          <w:rFonts w:ascii="楷体_GB2312" w:eastAsia="楷体_GB2312" w:hint="eastAsia"/>
          <w:sz w:val="30"/>
          <w:szCs w:val="30"/>
        </w:rPr>
        <w:t>经过挖掘人才，搭建平台，刻苦训练，我院代表队获得河南省高等学校卓越人才培养基地第三届“卓越杯”法治辩论赛季军。</w:t>
      </w:r>
    </w:p>
    <w:p w:rsidR="00A50821" w:rsidRDefault="00A50821" w:rsidP="00A50821">
      <w:pPr>
        <w:ind w:firstLineChars="200" w:firstLine="600"/>
        <w:jc w:val="left"/>
        <w:rPr>
          <w:rFonts w:ascii="楷体_GB2312" w:eastAsia="楷体_GB2312"/>
          <w:sz w:val="30"/>
          <w:szCs w:val="30"/>
        </w:rPr>
      </w:pPr>
      <w:r>
        <w:rPr>
          <w:rFonts w:ascii="楷体_GB2312" w:eastAsia="楷体_GB2312" w:hint="eastAsia"/>
          <w:sz w:val="30"/>
          <w:szCs w:val="30"/>
        </w:rPr>
        <w:t>5. 开展国培项目和中西部项目</w:t>
      </w:r>
    </w:p>
    <w:p w:rsidR="00A50821" w:rsidRDefault="00A50821" w:rsidP="00A50821">
      <w:pPr>
        <w:ind w:firstLineChars="200" w:firstLine="600"/>
        <w:jc w:val="left"/>
        <w:rPr>
          <w:color w:val="000000"/>
          <w:shd w:val="clear" w:color="auto" w:fill="FDFDFD"/>
        </w:rPr>
      </w:pPr>
      <w:r w:rsidRPr="00A50821">
        <w:rPr>
          <w:rFonts w:ascii="楷体_GB2312" w:eastAsia="楷体_GB2312"/>
          <w:sz w:val="30"/>
          <w:szCs w:val="30"/>
        </w:rPr>
        <w:t>顺利完成第二期国培计划示范性项目和中西部项目。在去年好的做法的基础上，</w:t>
      </w:r>
      <w:r>
        <w:rPr>
          <w:rFonts w:ascii="楷体_GB2312" w:eastAsia="楷体_GB2312" w:hint="eastAsia"/>
          <w:sz w:val="30"/>
          <w:szCs w:val="30"/>
        </w:rPr>
        <w:t>本年度</w:t>
      </w:r>
      <w:r w:rsidRPr="00A50821">
        <w:rPr>
          <w:rFonts w:ascii="楷体_GB2312" w:eastAsia="楷体_GB2312" w:hint="eastAsia"/>
          <w:sz w:val="30"/>
          <w:szCs w:val="30"/>
        </w:rPr>
        <w:t>学院高度重视此次培训，制定了完善的培训方案，</w:t>
      </w:r>
      <w:r w:rsidRPr="00A50821">
        <w:rPr>
          <w:rFonts w:ascii="楷体_GB2312" w:eastAsia="楷体_GB2312"/>
          <w:sz w:val="30"/>
          <w:szCs w:val="30"/>
        </w:rPr>
        <w:t>，进一步优化日常教学管理细节，努力提升来自全国各地各民族学员的满意度，力争使网络匿名评审满意率继续在全国保持领先。</w:t>
      </w:r>
    </w:p>
    <w:p w:rsidR="00A50821" w:rsidRPr="00A50821" w:rsidRDefault="00A50821" w:rsidP="00A50821">
      <w:pPr>
        <w:ind w:firstLineChars="200" w:firstLine="600"/>
        <w:jc w:val="left"/>
        <w:rPr>
          <w:rFonts w:ascii="楷体_GB2312" w:eastAsia="楷体_GB2312"/>
          <w:sz w:val="30"/>
          <w:szCs w:val="30"/>
        </w:rPr>
      </w:pPr>
      <w:r w:rsidRPr="00A50821">
        <w:rPr>
          <w:rFonts w:ascii="楷体_GB2312" w:eastAsia="楷体_GB2312" w:hint="eastAsia"/>
          <w:sz w:val="30"/>
          <w:szCs w:val="30"/>
        </w:rPr>
        <w:t>6.</w:t>
      </w:r>
      <w:r>
        <w:rPr>
          <w:rFonts w:ascii="楷体_GB2312" w:eastAsia="楷体_GB2312" w:hint="eastAsia"/>
          <w:sz w:val="30"/>
          <w:szCs w:val="30"/>
        </w:rPr>
        <w:t xml:space="preserve"> </w:t>
      </w:r>
      <w:r w:rsidRPr="00A50821">
        <w:rPr>
          <w:rFonts w:ascii="楷体_GB2312" w:eastAsia="楷体_GB2312" w:hint="eastAsia"/>
          <w:sz w:val="30"/>
          <w:szCs w:val="30"/>
        </w:rPr>
        <w:t>举办各类法治培训班</w:t>
      </w:r>
      <w:r>
        <w:rPr>
          <w:rFonts w:ascii="楷体_GB2312" w:eastAsia="楷体_GB2312" w:hint="eastAsia"/>
          <w:sz w:val="30"/>
          <w:szCs w:val="30"/>
        </w:rPr>
        <w:t>教学项目</w:t>
      </w:r>
    </w:p>
    <w:p w:rsidR="00A50821" w:rsidRDefault="00A50821" w:rsidP="00A50821">
      <w:pPr>
        <w:ind w:firstLineChars="200" w:firstLine="600"/>
        <w:jc w:val="left"/>
        <w:rPr>
          <w:rFonts w:ascii="楷体_GB2312" w:eastAsia="楷体_GB2312"/>
          <w:sz w:val="30"/>
          <w:szCs w:val="30"/>
        </w:rPr>
      </w:pPr>
      <w:r w:rsidRPr="00A50821">
        <w:rPr>
          <w:rFonts w:ascii="楷体_GB2312" w:eastAsia="楷体_GB2312"/>
          <w:sz w:val="30"/>
          <w:szCs w:val="30"/>
        </w:rPr>
        <w:t>成功举办郑州市教育系统纪检监察干部学习培训班、郑州市交通运输系统依法行政培训班和新乡市法院系统刑事诉讼与刑事审判培训班，</w:t>
      </w:r>
      <w:r w:rsidRPr="00A50821">
        <w:rPr>
          <w:rFonts w:ascii="楷体_GB2312" w:eastAsia="楷体_GB2312" w:hint="eastAsia"/>
          <w:sz w:val="30"/>
          <w:szCs w:val="30"/>
        </w:rPr>
        <w:t>在教学安排上，组织了一流的教学团队进行授课</w:t>
      </w:r>
      <w:r>
        <w:rPr>
          <w:rFonts w:ascii="楷体_GB2312" w:eastAsia="楷体_GB2312" w:hint="eastAsia"/>
          <w:sz w:val="30"/>
          <w:szCs w:val="30"/>
        </w:rPr>
        <w:t>，这一系列</w:t>
      </w:r>
      <w:r w:rsidRPr="00A50821">
        <w:rPr>
          <w:rFonts w:ascii="楷体_GB2312" w:eastAsia="楷体_GB2312" w:hint="eastAsia"/>
          <w:sz w:val="30"/>
          <w:szCs w:val="30"/>
        </w:rPr>
        <w:t>培训班</w:t>
      </w:r>
      <w:r>
        <w:rPr>
          <w:rFonts w:ascii="楷体_GB2312" w:eastAsia="楷体_GB2312" w:hint="eastAsia"/>
          <w:sz w:val="30"/>
          <w:szCs w:val="30"/>
        </w:rPr>
        <w:t>教学项目</w:t>
      </w:r>
      <w:r w:rsidRPr="00A50821">
        <w:rPr>
          <w:rFonts w:ascii="楷体_GB2312" w:eastAsia="楷体_GB2312"/>
          <w:sz w:val="30"/>
          <w:szCs w:val="30"/>
        </w:rPr>
        <w:t>扩大了学院办学效益和社会影响。</w:t>
      </w:r>
    </w:p>
    <w:p w:rsidR="00BE237F" w:rsidRDefault="0069461F">
      <w:pPr>
        <w:spacing w:line="460" w:lineRule="exact"/>
        <w:ind w:firstLineChars="200" w:firstLine="600"/>
        <w:rPr>
          <w:rFonts w:ascii="黑体" w:eastAsia="黑体"/>
          <w:sz w:val="30"/>
          <w:szCs w:val="30"/>
        </w:rPr>
      </w:pPr>
      <w:r>
        <w:rPr>
          <w:rFonts w:ascii="黑体" w:eastAsia="黑体" w:hint="eastAsia"/>
          <w:sz w:val="30"/>
          <w:szCs w:val="30"/>
        </w:rPr>
        <w:t>二、学科建设与研究生教育</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1. 强化学科与平台建设</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根据国务院学位委员会、教育部印发的《学位授权点合格评估办法》、《关于开展学位授权点合格评估工作的通知》，河南</w:t>
      </w:r>
      <w:r>
        <w:rPr>
          <w:rFonts w:ascii="楷体_GB2312" w:eastAsia="楷体_GB2312" w:hint="eastAsia"/>
          <w:sz w:val="30"/>
          <w:szCs w:val="30"/>
        </w:rPr>
        <w:lastRenderedPageBreak/>
        <w:t>师范大学</w:t>
      </w:r>
      <w:r>
        <w:rPr>
          <w:rFonts w:ascii="楷体_GB2312" w:eastAsia="楷体_GB2312"/>
          <w:sz w:val="30"/>
          <w:szCs w:val="30"/>
        </w:rPr>
        <w:t>《学位授权点合格评估工作方案》</w:t>
      </w:r>
      <w:r>
        <w:rPr>
          <w:rFonts w:ascii="楷体_GB2312" w:eastAsia="楷体_GB2312" w:hint="eastAsia"/>
          <w:sz w:val="30"/>
          <w:szCs w:val="30"/>
        </w:rPr>
        <w:t>等文件精神，成立学位授权点合格评估领导小组，认真填报“学科评估系统”，上传相关信息。根据《河南师范大学优势特色学科建设工程实施方案（试行）》，积极申报“优势特色培育学科”。依托我院建设的校级特色与应用研究基地“新农村法治建设研究中心”顺利通过学校考核验收。</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2. 加强科研团队建设</w:t>
      </w:r>
    </w:p>
    <w:p w:rsidR="003F23E0" w:rsidRDefault="0069461F" w:rsidP="003F23E0">
      <w:pPr>
        <w:pStyle w:val="a3"/>
        <w:rPr>
          <w:rFonts w:ascii="楷体_GB2312" w:eastAsia="楷体_GB2312"/>
          <w:sz w:val="30"/>
          <w:szCs w:val="30"/>
        </w:rPr>
      </w:pPr>
      <w:r>
        <w:rPr>
          <w:rFonts w:ascii="楷体_GB2312" w:eastAsia="楷体_GB2312" w:hint="eastAsia"/>
          <w:sz w:val="30"/>
          <w:szCs w:val="30"/>
        </w:rPr>
        <w:t>组建法学理论、刑法学、经济法学（含环境与资源保护法学）、民商法学（含知识产权）和宪法与行政法学等五个科研团队，实行方向带头人负责制，每两周举办一次学术沙龙活动，凝练方向，营造良好学术氛围。</w:t>
      </w:r>
    </w:p>
    <w:p w:rsidR="003F23E0" w:rsidRDefault="003F23E0" w:rsidP="003F23E0">
      <w:pPr>
        <w:ind w:firstLineChars="200" w:firstLine="600"/>
        <w:jc w:val="left"/>
        <w:rPr>
          <w:rFonts w:ascii="楷体_GB2312" w:eastAsia="楷体_GB2312"/>
          <w:sz w:val="30"/>
          <w:szCs w:val="30"/>
        </w:rPr>
      </w:pPr>
      <w:r w:rsidRPr="003F23E0">
        <w:rPr>
          <w:rFonts w:ascii="楷体_GB2312" w:eastAsia="楷体_GB2312" w:hint="eastAsia"/>
          <w:sz w:val="30"/>
          <w:szCs w:val="30"/>
        </w:rPr>
        <w:t xml:space="preserve">3. </w:t>
      </w:r>
      <w:r w:rsidRPr="003F23E0">
        <w:rPr>
          <w:rFonts w:ascii="楷体_GB2312" w:eastAsia="楷体_GB2312"/>
          <w:sz w:val="30"/>
          <w:szCs w:val="30"/>
        </w:rPr>
        <w:t>加强知识产权学院和知识产权专业建设，</w:t>
      </w:r>
    </w:p>
    <w:p w:rsidR="003F23E0" w:rsidRPr="003F23E0" w:rsidRDefault="003F23E0" w:rsidP="003F23E0">
      <w:pPr>
        <w:ind w:firstLineChars="200" w:firstLine="600"/>
        <w:jc w:val="left"/>
        <w:rPr>
          <w:rFonts w:ascii="楷体_GB2312" w:eastAsia="楷体_GB2312"/>
          <w:sz w:val="30"/>
          <w:szCs w:val="30"/>
        </w:rPr>
      </w:pPr>
      <w:r w:rsidRPr="003F23E0">
        <w:rPr>
          <w:rFonts w:ascii="楷体_GB2312" w:eastAsia="楷体_GB2312" w:hint="eastAsia"/>
          <w:sz w:val="30"/>
          <w:szCs w:val="30"/>
        </w:rPr>
        <w:t>学院坚定不移地走“科学发展、内涵发展、特色发展”的道路，在整合资源、苦练内功的基础上，10月20日</w:t>
      </w:r>
      <w:r>
        <w:rPr>
          <w:rFonts w:ascii="楷体_GB2312" w:eastAsia="楷体_GB2312" w:hint="eastAsia"/>
          <w:sz w:val="30"/>
          <w:szCs w:val="30"/>
        </w:rPr>
        <w:t>我院领导赴</w:t>
      </w:r>
      <w:r w:rsidRPr="003F23E0">
        <w:rPr>
          <w:rFonts w:ascii="楷体_GB2312" w:eastAsia="楷体_GB2312" w:hint="eastAsia"/>
          <w:sz w:val="30"/>
          <w:szCs w:val="30"/>
        </w:rPr>
        <w:t>省知识产权局共商知识产权学院建设事宜</w:t>
      </w:r>
      <w:r>
        <w:rPr>
          <w:rFonts w:ascii="楷体_GB2312" w:eastAsia="楷体_GB2312" w:hint="eastAsia"/>
          <w:sz w:val="30"/>
          <w:szCs w:val="30"/>
        </w:rPr>
        <w:t>，</w:t>
      </w:r>
      <w:r w:rsidRPr="003F23E0">
        <w:rPr>
          <w:rFonts w:ascii="楷体_GB2312" w:eastAsia="楷体_GB2312" w:hint="eastAsia"/>
          <w:sz w:val="30"/>
          <w:szCs w:val="30"/>
        </w:rPr>
        <w:t>积极争取学校和上级部门的支持，成立了知识产权学院，获批河南省知识产权培训基地，河南省知识产权局每年拟投入资金100万元，为学院发展注入了新能量，搭建了新平台。</w:t>
      </w:r>
      <w:bookmarkStart w:id="0" w:name="_GoBack"/>
      <w:bookmarkEnd w:id="0"/>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3. 积极开展学术交流</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成功承办中国农业经济法研究会（中国法学会农业与农村法制研究会）、河南省法学会农业与农村法治研究会主办的“2016年年会暨学术研讨会”，扩大了我院的学术影响力。举办“新乡</w:t>
      </w:r>
      <w:r>
        <w:rPr>
          <w:rFonts w:ascii="楷体_GB2312" w:eastAsia="楷体_GB2312" w:hint="eastAsia"/>
          <w:sz w:val="30"/>
          <w:szCs w:val="30"/>
        </w:rPr>
        <w:lastRenderedPageBreak/>
        <w:t>市法学会刑法学研究会成立大会暨牧野刑法论坛”、“新乡市法学会农业与农村法治研究会成立大会暨‘三农法治·百泉论坛’”，加强法学研究服务地方经济社会发展的能力。先后邀请郑州大学博士生导师苗连营教授，中南财经政法大学博士生导师陈柏峰教授、王广辉教授等来我院讲学，带动学术交流氛围。</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 xml:space="preserve">4. </w:t>
      </w:r>
      <w:r w:rsidR="00E3644A">
        <w:rPr>
          <w:rFonts w:ascii="楷体_GB2312" w:eastAsia="楷体_GB2312" w:hint="eastAsia"/>
          <w:sz w:val="30"/>
          <w:szCs w:val="30"/>
        </w:rPr>
        <w:t>加强硕士</w:t>
      </w:r>
      <w:r>
        <w:rPr>
          <w:rFonts w:ascii="楷体_GB2312" w:eastAsia="楷体_GB2312" w:hint="eastAsia"/>
          <w:sz w:val="30"/>
          <w:szCs w:val="30"/>
        </w:rPr>
        <w:t>研究生教育</w:t>
      </w:r>
    </w:p>
    <w:p w:rsidR="00E3644A" w:rsidRDefault="0069461F">
      <w:pPr>
        <w:ind w:firstLineChars="200" w:firstLine="600"/>
        <w:jc w:val="left"/>
        <w:rPr>
          <w:rFonts w:ascii="楷体_GB2312" w:eastAsia="楷体_GB2312"/>
          <w:sz w:val="30"/>
          <w:szCs w:val="30"/>
        </w:rPr>
      </w:pPr>
      <w:r>
        <w:rPr>
          <w:rFonts w:ascii="楷体_GB2312" w:eastAsia="楷体_GB2312" w:hint="eastAsia"/>
          <w:sz w:val="30"/>
          <w:szCs w:val="30"/>
        </w:rPr>
        <w:t>进一步修订培养方案，注重学生综合能力的培养，召开法律硕士校内外导师座谈会，落实研究生预答辩制度和法律硕士“双导师”制度，探索研究生“教学团队授课”模式，鼓励研究生与导师合作开展课题研究，鼓励研究生参加学术会议。</w:t>
      </w:r>
    </w:p>
    <w:p w:rsidR="00E3644A" w:rsidRPr="00E3644A" w:rsidRDefault="00E3644A" w:rsidP="00E3644A">
      <w:pPr>
        <w:ind w:firstLineChars="200" w:firstLine="600"/>
        <w:jc w:val="left"/>
        <w:rPr>
          <w:rFonts w:ascii="楷体_GB2312" w:eastAsia="楷体_GB2312"/>
          <w:sz w:val="30"/>
          <w:szCs w:val="30"/>
        </w:rPr>
      </w:pPr>
      <w:r>
        <w:rPr>
          <w:rFonts w:ascii="楷体_GB2312" w:eastAsia="楷体_GB2312" w:hint="eastAsia"/>
          <w:sz w:val="30"/>
          <w:szCs w:val="30"/>
        </w:rPr>
        <w:t xml:space="preserve">5. </w:t>
      </w:r>
      <w:r w:rsidRPr="00E3644A">
        <w:rPr>
          <w:rFonts w:ascii="楷体_GB2312" w:eastAsia="楷体_GB2312"/>
          <w:sz w:val="30"/>
          <w:szCs w:val="30"/>
        </w:rPr>
        <w:t>加强博士</w:t>
      </w:r>
      <w:r>
        <w:rPr>
          <w:rFonts w:ascii="楷体_GB2312" w:eastAsia="楷体_GB2312" w:hint="eastAsia"/>
          <w:sz w:val="30"/>
          <w:szCs w:val="30"/>
        </w:rPr>
        <w:t>学位</w:t>
      </w:r>
      <w:r w:rsidRPr="00E3644A">
        <w:rPr>
          <w:rFonts w:ascii="楷体_GB2312" w:eastAsia="楷体_GB2312"/>
          <w:sz w:val="30"/>
          <w:szCs w:val="30"/>
        </w:rPr>
        <w:t>点</w:t>
      </w:r>
      <w:r>
        <w:rPr>
          <w:rFonts w:ascii="楷体_GB2312" w:eastAsia="楷体_GB2312" w:hint="eastAsia"/>
          <w:sz w:val="30"/>
          <w:szCs w:val="30"/>
        </w:rPr>
        <w:t>建设</w:t>
      </w:r>
    </w:p>
    <w:p w:rsidR="00BE237F" w:rsidRDefault="00E3644A">
      <w:pPr>
        <w:ind w:firstLineChars="200" w:firstLine="600"/>
        <w:jc w:val="left"/>
        <w:rPr>
          <w:rFonts w:ascii="楷体_GB2312" w:eastAsia="楷体_GB2312"/>
          <w:sz w:val="30"/>
          <w:szCs w:val="30"/>
        </w:rPr>
      </w:pPr>
      <w:r>
        <w:rPr>
          <w:rFonts w:ascii="楷体_GB2312" w:eastAsia="楷体_GB2312" w:hint="eastAsia"/>
          <w:sz w:val="30"/>
          <w:szCs w:val="30"/>
        </w:rPr>
        <w:t>我院在加强硕士研究生教育的同时，</w:t>
      </w:r>
      <w:r w:rsidRPr="00E3644A">
        <w:rPr>
          <w:rFonts w:ascii="楷体_GB2312" w:eastAsia="楷体_GB2312"/>
          <w:sz w:val="30"/>
          <w:szCs w:val="30"/>
        </w:rPr>
        <w:t>规划学院的</w:t>
      </w:r>
      <w:r w:rsidRPr="00E3644A">
        <w:rPr>
          <w:rFonts w:ascii="楷体_GB2312" w:eastAsia="楷体_GB2312" w:hint="eastAsia"/>
          <w:sz w:val="30"/>
          <w:szCs w:val="30"/>
        </w:rPr>
        <w:t>博士</w:t>
      </w:r>
      <w:r w:rsidRPr="00E3644A">
        <w:rPr>
          <w:rFonts w:ascii="楷体_GB2312" w:eastAsia="楷体_GB2312"/>
          <w:sz w:val="30"/>
          <w:szCs w:val="30"/>
        </w:rPr>
        <w:t>学位点建设</w:t>
      </w:r>
      <w:r w:rsidRPr="00E3644A">
        <w:rPr>
          <w:rFonts w:ascii="楷体_GB2312" w:eastAsia="楷体_GB2312" w:hint="eastAsia"/>
          <w:sz w:val="30"/>
          <w:szCs w:val="30"/>
        </w:rPr>
        <w:t>，制定一级博士学位授权点建设总体目标，</w:t>
      </w:r>
      <w:r w:rsidRPr="00E3644A">
        <w:rPr>
          <w:rFonts w:ascii="楷体_GB2312" w:eastAsia="楷体_GB2312"/>
          <w:sz w:val="30"/>
          <w:szCs w:val="30"/>
        </w:rPr>
        <w:t>激发教职工参与</w:t>
      </w:r>
      <w:r w:rsidRPr="00E3644A">
        <w:rPr>
          <w:rFonts w:ascii="楷体_GB2312" w:eastAsia="楷体_GB2312" w:hint="eastAsia"/>
          <w:sz w:val="30"/>
          <w:szCs w:val="30"/>
        </w:rPr>
        <w:t>一级博士</w:t>
      </w:r>
      <w:r w:rsidRPr="00E3644A">
        <w:rPr>
          <w:rFonts w:ascii="楷体_GB2312" w:eastAsia="楷体_GB2312"/>
          <w:sz w:val="30"/>
          <w:szCs w:val="30"/>
        </w:rPr>
        <w:t>学位</w:t>
      </w:r>
      <w:r w:rsidRPr="00E3644A">
        <w:rPr>
          <w:rFonts w:ascii="楷体_GB2312" w:eastAsia="楷体_GB2312" w:hint="eastAsia"/>
          <w:sz w:val="30"/>
          <w:szCs w:val="30"/>
        </w:rPr>
        <w:t>授权</w:t>
      </w:r>
      <w:r w:rsidRPr="00E3644A">
        <w:rPr>
          <w:rFonts w:ascii="楷体_GB2312" w:eastAsia="楷体_GB2312"/>
          <w:sz w:val="30"/>
          <w:szCs w:val="30"/>
        </w:rPr>
        <w:t>点建设的热情</w:t>
      </w:r>
      <w:r w:rsidRPr="00E3644A">
        <w:rPr>
          <w:rFonts w:ascii="楷体_GB2312" w:eastAsia="楷体_GB2312" w:hint="eastAsia"/>
          <w:sz w:val="30"/>
          <w:szCs w:val="30"/>
        </w:rPr>
        <w:t>，</w:t>
      </w:r>
      <w:r w:rsidR="0069461F">
        <w:rPr>
          <w:rFonts w:ascii="楷体_GB2312" w:eastAsia="楷体_GB2312" w:hint="eastAsia"/>
          <w:sz w:val="30"/>
          <w:szCs w:val="30"/>
        </w:rPr>
        <w:t>以法学一级博士点为目标，积极为申报博士学位授权点准备条件。</w:t>
      </w:r>
    </w:p>
    <w:p w:rsidR="00BE237F" w:rsidRDefault="0069461F">
      <w:pPr>
        <w:spacing w:line="460" w:lineRule="exact"/>
        <w:ind w:firstLineChars="200" w:firstLine="600"/>
        <w:rPr>
          <w:rFonts w:ascii="黑体" w:eastAsia="黑体"/>
          <w:sz w:val="30"/>
          <w:szCs w:val="30"/>
        </w:rPr>
      </w:pPr>
      <w:r>
        <w:rPr>
          <w:rFonts w:ascii="黑体" w:eastAsia="黑体" w:hint="eastAsia"/>
          <w:sz w:val="30"/>
          <w:szCs w:val="30"/>
        </w:rPr>
        <w:t>三、科研工作</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1. 着力做好高级别科研项目培养工作。</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认真组织2016年度国家社科项目的申报工作，组织专家论证，加强优秀项目的前期培育，提高申报基数和命中率；加强已立项高级别科研项目的管理，督促相关人员保质保量地完成研究任务。</w:t>
      </w:r>
    </w:p>
    <w:p w:rsidR="00D26CE2" w:rsidRDefault="00D26CE2" w:rsidP="00D26CE2">
      <w:pPr>
        <w:ind w:firstLineChars="200" w:firstLine="600"/>
        <w:jc w:val="left"/>
        <w:rPr>
          <w:rFonts w:ascii="楷体_GB2312" w:eastAsia="楷体_GB2312"/>
          <w:sz w:val="30"/>
          <w:szCs w:val="30"/>
        </w:rPr>
      </w:pPr>
      <w:r>
        <w:rPr>
          <w:rFonts w:ascii="楷体_GB2312" w:eastAsia="楷体_GB2312" w:hint="eastAsia"/>
          <w:sz w:val="30"/>
          <w:szCs w:val="30"/>
        </w:rPr>
        <w:t xml:space="preserve">2. </w:t>
      </w:r>
      <w:r w:rsidRPr="00D26CE2">
        <w:rPr>
          <w:rFonts w:ascii="楷体_GB2312" w:eastAsia="楷体_GB2312" w:hint="eastAsia"/>
          <w:sz w:val="30"/>
          <w:szCs w:val="30"/>
        </w:rPr>
        <w:t>科研成果不断丰富</w:t>
      </w:r>
      <w:r>
        <w:rPr>
          <w:rFonts w:ascii="楷体_GB2312" w:eastAsia="楷体_GB2312" w:hint="eastAsia"/>
          <w:sz w:val="30"/>
          <w:szCs w:val="30"/>
        </w:rPr>
        <w:t>，</w:t>
      </w:r>
      <w:r w:rsidRPr="00D26CE2">
        <w:rPr>
          <w:rFonts w:ascii="楷体_GB2312" w:eastAsia="楷体_GB2312" w:hint="eastAsia"/>
          <w:sz w:val="30"/>
          <w:szCs w:val="30"/>
        </w:rPr>
        <w:t>科研实力显著增强</w:t>
      </w:r>
    </w:p>
    <w:p w:rsidR="00D26CE2" w:rsidRDefault="00D26CE2" w:rsidP="00F002A9">
      <w:pPr>
        <w:ind w:firstLineChars="200" w:firstLine="600"/>
        <w:jc w:val="left"/>
        <w:rPr>
          <w:rFonts w:ascii="楷体_GB2312" w:eastAsia="楷体_GB2312"/>
          <w:sz w:val="30"/>
          <w:szCs w:val="30"/>
        </w:rPr>
      </w:pPr>
      <w:r>
        <w:rPr>
          <w:rFonts w:ascii="楷体_GB2312" w:eastAsia="楷体_GB2312" w:hint="eastAsia"/>
          <w:sz w:val="30"/>
          <w:szCs w:val="30"/>
        </w:rPr>
        <w:lastRenderedPageBreak/>
        <w:t>本年度，我院</w:t>
      </w:r>
      <w:r w:rsidR="00EE0F3B" w:rsidRPr="00EE0F3B">
        <w:rPr>
          <w:rFonts w:ascii="楷体_GB2312" w:eastAsia="楷体_GB2312" w:hint="eastAsia"/>
          <w:sz w:val="30"/>
          <w:szCs w:val="30"/>
        </w:rPr>
        <w:t>获得国家社科基金项目1项</w:t>
      </w:r>
      <w:r w:rsidR="00EE0F3B">
        <w:rPr>
          <w:rFonts w:ascii="楷体_GB2312" w:eastAsia="楷体_GB2312" w:hint="eastAsia"/>
          <w:sz w:val="30"/>
          <w:szCs w:val="30"/>
        </w:rPr>
        <w:t>，</w:t>
      </w:r>
      <w:r>
        <w:rPr>
          <w:rFonts w:ascii="楷体_GB2312" w:eastAsia="楷体_GB2312" w:hint="eastAsia"/>
          <w:sz w:val="30"/>
          <w:szCs w:val="30"/>
        </w:rPr>
        <w:t>发表法学类论文29篇，</w:t>
      </w:r>
      <w:r w:rsidR="00E621F3">
        <w:rPr>
          <w:rFonts w:ascii="楷体_GB2312" w:eastAsia="楷体_GB2312" w:hint="eastAsia"/>
          <w:sz w:val="30"/>
          <w:szCs w:val="30"/>
        </w:rPr>
        <w:t>出版法学类专著4篇，出版法学类译著1篇，</w:t>
      </w:r>
      <w:r w:rsidR="00F002A9">
        <w:rPr>
          <w:rFonts w:ascii="楷体_GB2312" w:eastAsia="楷体_GB2312" w:hint="eastAsia"/>
          <w:sz w:val="30"/>
          <w:szCs w:val="30"/>
        </w:rPr>
        <w:t>共有4项</w:t>
      </w:r>
      <w:r w:rsidR="00E621F3" w:rsidRPr="00E621F3">
        <w:rPr>
          <w:rFonts w:ascii="楷体_GB2312" w:eastAsia="楷体_GB2312" w:hint="eastAsia"/>
          <w:sz w:val="30"/>
          <w:szCs w:val="30"/>
        </w:rPr>
        <w:t>科研获奖成果</w:t>
      </w:r>
      <w:r w:rsidR="00E621F3">
        <w:rPr>
          <w:rFonts w:ascii="楷体_GB2312" w:eastAsia="楷体_GB2312" w:hint="eastAsia"/>
          <w:sz w:val="30"/>
          <w:szCs w:val="30"/>
        </w:rPr>
        <w:t>。</w:t>
      </w:r>
      <w:r>
        <w:rPr>
          <w:rFonts w:ascii="楷体_GB2312" w:eastAsia="楷体_GB2312" w:hint="eastAsia"/>
          <w:sz w:val="30"/>
          <w:szCs w:val="30"/>
        </w:rPr>
        <w:t>其中</w:t>
      </w:r>
      <w:r w:rsidR="00F002A9">
        <w:rPr>
          <w:rFonts w:ascii="楷体_GB2312" w:eastAsia="楷体_GB2312" w:hint="eastAsia"/>
          <w:sz w:val="30"/>
          <w:szCs w:val="30"/>
        </w:rPr>
        <w:t>，在29篇法学类论文中，</w:t>
      </w:r>
      <w:r>
        <w:rPr>
          <w:rFonts w:ascii="楷体_GB2312" w:eastAsia="楷体_GB2312" w:hint="eastAsia"/>
          <w:sz w:val="30"/>
          <w:szCs w:val="30"/>
        </w:rPr>
        <w:t>16篇</w:t>
      </w:r>
      <w:r w:rsidR="00F002A9">
        <w:rPr>
          <w:rFonts w:ascii="楷体_GB2312" w:eastAsia="楷体_GB2312" w:hint="eastAsia"/>
          <w:sz w:val="30"/>
          <w:szCs w:val="30"/>
        </w:rPr>
        <w:t>论文</w:t>
      </w:r>
      <w:r>
        <w:rPr>
          <w:rFonts w:ascii="楷体_GB2312" w:eastAsia="楷体_GB2312" w:hint="eastAsia"/>
          <w:sz w:val="30"/>
          <w:szCs w:val="30"/>
        </w:rPr>
        <w:t>发表在全国</w:t>
      </w:r>
      <w:r w:rsidRPr="00D26CE2">
        <w:rPr>
          <w:rFonts w:ascii="楷体_GB2312" w:eastAsia="楷体_GB2312" w:hint="eastAsia"/>
          <w:sz w:val="30"/>
          <w:szCs w:val="30"/>
        </w:rPr>
        <w:t>中文核心期刊</w:t>
      </w:r>
      <w:r>
        <w:rPr>
          <w:rFonts w:ascii="楷体_GB2312" w:eastAsia="楷体_GB2312" w:hint="eastAsia"/>
          <w:sz w:val="30"/>
          <w:szCs w:val="30"/>
        </w:rPr>
        <w:t>上，12篇</w:t>
      </w:r>
      <w:r w:rsidR="00F002A9">
        <w:rPr>
          <w:rFonts w:ascii="楷体_GB2312" w:eastAsia="楷体_GB2312" w:hint="eastAsia"/>
          <w:sz w:val="30"/>
          <w:szCs w:val="30"/>
        </w:rPr>
        <w:t>论文</w:t>
      </w:r>
      <w:r>
        <w:rPr>
          <w:rFonts w:ascii="楷体_GB2312" w:eastAsia="楷体_GB2312" w:hint="eastAsia"/>
          <w:sz w:val="30"/>
          <w:szCs w:val="30"/>
        </w:rPr>
        <w:t>发表在</w:t>
      </w:r>
      <w:r w:rsidRPr="00D26CE2">
        <w:rPr>
          <w:rFonts w:ascii="楷体_GB2312" w:eastAsia="楷体_GB2312" w:hint="eastAsia"/>
          <w:sz w:val="30"/>
          <w:szCs w:val="30"/>
        </w:rPr>
        <w:t>中国社会科学引文索引(CSSCI)</w:t>
      </w:r>
      <w:r>
        <w:rPr>
          <w:rFonts w:ascii="楷体_GB2312" w:eastAsia="楷体_GB2312" w:hint="eastAsia"/>
          <w:sz w:val="30"/>
          <w:szCs w:val="30"/>
        </w:rPr>
        <w:t>期刊上</w:t>
      </w:r>
      <w:r w:rsidR="00F002A9">
        <w:rPr>
          <w:rFonts w:ascii="楷体_GB2312" w:eastAsia="楷体_GB2312" w:hint="eastAsia"/>
          <w:sz w:val="30"/>
          <w:szCs w:val="30"/>
        </w:rPr>
        <w:t>，1篇论文被</w:t>
      </w:r>
      <w:r w:rsidR="00F002A9" w:rsidRPr="00F002A9">
        <w:rPr>
          <w:rFonts w:ascii="楷体_GB2312" w:eastAsia="楷体_GB2312" w:hint="eastAsia"/>
          <w:sz w:val="30"/>
          <w:szCs w:val="30"/>
        </w:rPr>
        <w:t>人大复印资料全文复印</w:t>
      </w:r>
      <w:r>
        <w:rPr>
          <w:rFonts w:ascii="楷体_GB2312" w:eastAsia="楷体_GB2312" w:hint="eastAsia"/>
          <w:sz w:val="30"/>
          <w:szCs w:val="30"/>
        </w:rPr>
        <w:t>；</w:t>
      </w:r>
      <w:r w:rsidR="00F002A9">
        <w:rPr>
          <w:rFonts w:ascii="楷体_GB2312" w:eastAsia="楷体_GB2312" w:hint="eastAsia"/>
          <w:sz w:val="30"/>
          <w:szCs w:val="30"/>
        </w:rPr>
        <w:t>在4项</w:t>
      </w:r>
      <w:r w:rsidR="00F002A9" w:rsidRPr="00E621F3">
        <w:rPr>
          <w:rFonts w:ascii="楷体_GB2312" w:eastAsia="楷体_GB2312" w:hint="eastAsia"/>
          <w:sz w:val="30"/>
          <w:szCs w:val="30"/>
        </w:rPr>
        <w:t>科研获奖成果</w:t>
      </w:r>
      <w:r w:rsidR="00F002A9">
        <w:rPr>
          <w:rFonts w:ascii="楷体_GB2312" w:eastAsia="楷体_GB2312" w:hint="eastAsia"/>
          <w:sz w:val="30"/>
          <w:szCs w:val="30"/>
        </w:rPr>
        <w:t>中，1项为</w:t>
      </w:r>
      <w:r w:rsidR="00F002A9" w:rsidRPr="00F002A9">
        <w:rPr>
          <w:rFonts w:ascii="楷体_GB2312" w:eastAsia="楷体_GB2312" w:hint="eastAsia"/>
          <w:sz w:val="30"/>
          <w:szCs w:val="30"/>
        </w:rPr>
        <w:t>一般厅级一等</w:t>
      </w:r>
      <w:r w:rsidR="00F002A9">
        <w:rPr>
          <w:rFonts w:ascii="楷体_GB2312" w:eastAsia="楷体_GB2312" w:hint="eastAsia"/>
          <w:sz w:val="30"/>
          <w:szCs w:val="30"/>
        </w:rPr>
        <w:t>奖，2项为</w:t>
      </w:r>
      <w:r w:rsidR="00EE0F3B" w:rsidRPr="00EE0F3B">
        <w:rPr>
          <w:rFonts w:ascii="楷体_GB2312" w:eastAsia="楷体_GB2312" w:hint="eastAsia"/>
          <w:sz w:val="30"/>
          <w:szCs w:val="30"/>
        </w:rPr>
        <w:t>获得河南省社科优秀成果奖</w:t>
      </w:r>
      <w:r w:rsidR="00F002A9">
        <w:rPr>
          <w:rFonts w:ascii="楷体_GB2312" w:eastAsia="楷体_GB2312" w:hint="eastAsia"/>
          <w:sz w:val="30"/>
          <w:szCs w:val="30"/>
        </w:rPr>
        <w:t>。</w:t>
      </w:r>
    </w:p>
    <w:p w:rsidR="00BE237F" w:rsidRDefault="00D26CE2">
      <w:pPr>
        <w:ind w:firstLineChars="200" w:firstLine="600"/>
        <w:jc w:val="left"/>
        <w:rPr>
          <w:rFonts w:ascii="楷体_GB2312" w:eastAsia="楷体_GB2312"/>
          <w:sz w:val="30"/>
          <w:szCs w:val="30"/>
        </w:rPr>
      </w:pPr>
      <w:r>
        <w:rPr>
          <w:rFonts w:ascii="楷体_GB2312" w:eastAsia="楷体_GB2312" w:hint="eastAsia"/>
          <w:sz w:val="30"/>
          <w:szCs w:val="30"/>
        </w:rPr>
        <w:t>3</w:t>
      </w:r>
      <w:r w:rsidR="0069461F">
        <w:rPr>
          <w:rFonts w:ascii="楷体_GB2312" w:eastAsia="楷体_GB2312" w:hint="eastAsia"/>
          <w:sz w:val="30"/>
          <w:szCs w:val="30"/>
        </w:rPr>
        <w:t>. 努力建设好学术团队。</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设立专项经费，用于高级别项目申报组开展项目研讨会、学术交流会等学术活动。激发团队的创造力，为争取国家级科研项目和标志性科研成果创造条件，营造氛围。</w:t>
      </w:r>
    </w:p>
    <w:p w:rsidR="00BE237F" w:rsidRDefault="00D26CE2">
      <w:pPr>
        <w:ind w:firstLineChars="200" w:firstLine="600"/>
        <w:jc w:val="left"/>
        <w:rPr>
          <w:rFonts w:ascii="楷体_GB2312" w:eastAsia="楷体_GB2312"/>
          <w:sz w:val="30"/>
          <w:szCs w:val="30"/>
        </w:rPr>
      </w:pPr>
      <w:r>
        <w:rPr>
          <w:rFonts w:ascii="楷体_GB2312" w:eastAsia="楷体_GB2312" w:hint="eastAsia"/>
          <w:sz w:val="30"/>
          <w:szCs w:val="30"/>
        </w:rPr>
        <w:t>4</w:t>
      </w:r>
      <w:r w:rsidR="0069461F">
        <w:rPr>
          <w:rFonts w:ascii="楷体_GB2312" w:eastAsia="楷体_GB2312" w:hint="eastAsia"/>
          <w:sz w:val="30"/>
          <w:szCs w:val="30"/>
        </w:rPr>
        <w:t>. 实施科学研究奖励制度</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继续落实高层次学术论文“8631”重奖制度、《法学文库建设实施方案》和院级攻关项目招标，提前着手开展国家社科基金项目申报动员，将“三级论证”落到实处，进一步调动教师的科研积极性。</w:t>
      </w:r>
    </w:p>
    <w:p w:rsidR="00BE237F" w:rsidRDefault="0069461F">
      <w:pPr>
        <w:spacing w:line="460" w:lineRule="exact"/>
        <w:ind w:firstLineChars="200" w:firstLine="600"/>
        <w:rPr>
          <w:rFonts w:ascii="黑体" w:eastAsia="黑体"/>
          <w:sz w:val="30"/>
          <w:szCs w:val="30"/>
        </w:rPr>
      </w:pPr>
      <w:r>
        <w:rPr>
          <w:rFonts w:ascii="黑体" w:eastAsia="黑体" w:hint="eastAsia"/>
          <w:sz w:val="30"/>
          <w:szCs w:val="30"/>
        </w:rPr>
        <w:t>四、师资队伍建设</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1. 继续引进高层次人才，提高我院硕博比例。</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采用“引进来”和“走出去”相结合的办法，在学院官网长期宣传并在相关高校定期进行校园招聘，到武汉、重庆等高校聚集地采取召集校友、深入学生、参加招聘会等多种举措引贤纳才。本年度共引进博士2人，引进人才的毕业院校层次高，学术成果</w:t>
      </w:r>
      <w:r>
        <w:rPr>
          <w:rFonts w:ascii="楷体_GB2312" w:eastAsia="楷体_GB2312" w:hint="eastAsia"/>
          <w:sz w:val="30"/>
          <w:szCs w:val="30"/>
        </w:rPr>
        <w:lastRenderedPageBreak/>
        <w:t>丰富。</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2. 引进培养校级特聘教授。</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进一步做好校级特聘教授的引进与培养工作，制定相应的配套制度，完善特聘教授引进、培养办法，为学术梯队建设和发展配备高层次人才。本年度我院引进校级特聘教授1人，实现了重大突破。</w:t>
      </w:r>
    </w:p>
    <w:p w:rsidR="00BE237F" w:rsidRDefault="0069461F">
      <w:pPr>
        <w:spacing w:line="460" w:lineRule="exact"/>
        <w:ind w:firstLineChars="200" w:firstLine="600"/>
        <w:rPr>
          <w:rFonts w:ascii="黑体" w:eastAsia="黑体"/>
          <w:sz w:val="30"/>
          <w:szCs w:val="30"/>
        </w:rPr>
      </w:pPr>
      <w:r>
        <w:rPr>
          <w:rFonts w:ascii="黑体" w:eastAsia="黑体" w:hint="eastAsia"/>
          <w:sz w:val="30"/>
          <w:szCs w:val="30"/>
        </w:rPr>
        <w:t>五、设备实验室图书资料及档案建设</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1. 加强设备、实验室和资料管理</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我院不断增加学院的种类和数量，对学院基础设施、重视各种设备、家具和的图书资料、电子资源的管理与维护维修工作，为学院各项工作的开展提供保障。</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2. 加强档案管理建设</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学院设有专门的文件夹、文件袋和文件存放柜，保证各种会议记录、文件资料完备规范。</w:t>
      </w:r>
    </w:p>
    <w:p w:rsidR="00BE237F" w:rsidRDefault="0069461F">
      <w:pPr>
        <w:spacing w:line="460" w:lineRule="exact"/>
        <w:rPr>
          <w:rFonts w:ascii="黑体" w:eastAsia="黑体"/>
          <w:sz w:val="30"/>
          <w:szCs w:val="30"/>
        </w:rPr>
      </w:pPr>
      <w:r>
        <w:rPr>
          <w:rFonts w:ascii="黑体" w:eastAsia="黑体" w:hint="eastAsia"/>
          <w:sz w:val="30"/>
          <w:szCs w:val="30"/>
        </w:rPr>
        <w:t xml:space="preserve">    六、学生工作</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1. 实施陪伴成长工程</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整合力量，组织本院教师，尤其是辅导员走进学生的学习生活圈子，与学生进行深度的交流、心灵对话，切实解决学生的实际困难。</w:t>
      </w:r>
      <w:r>
        <w:rPr>
          <w:rFonts w:ascii="楷体_GB2312" w:eastAsia="楷体_GB2312"/>
          <w:sz w:val="30"/>
          <w:szCs w:val="30"/>
        </w:rPr>
        <w:t>继承学生工作深入基层</w:t>
      </w:r>
      <w:r>
        <w:rPr>
          <w:rFonts w:ascii="楷体_GB2312" w:eastAsia="楷体_GB2312" w:hint="eastAsia"/>
          <w:sz w:val="30"/>
          <w:szCs w:val="30"/>
        </w:rPr>
        <w:t>，</w:t>
      </w:r>
      <w:r>
        <w:rPr>
          <w:rFonts w:ascii="楷体_GB2312" w:eastAsia="楷体_GB2312"/>
          <w:sz w:val="30"/>
          <w:szCs w:val="30"/>
        </w:rPr>
        <w:t>深入实际的优良传统</w:t>
      </w:r>
      <w:r>
        <w:rPr>
          <w:rFonts w:ascii="楷体_GB2312" w:eastAsia="楷体_GB2312" w:hint="eastAsia"/>
          <w:sz w:val="30"/>
          <w:szCs w:val="30"/>
        </w:rPr>
        <w:t>，</w:t>
      </w:r>
      <w:r>
        <w:rPr>
          <w:rFonts w:ascii="楷体_GB2312" w:eastAsia="楷体_GB2312"/>
          <w:sz w:val="30"/>
          <w:szCs w:val="30"/>
        </w:rPr>
        <w:t>弥补了当前学生工作中的线上互动多</w:t>
      </w:r>
      <w:r>
        <w:rPr>
          <w:rFonts w:ascii="楷体_GB2312" w:eastAsia="楷体_GB2312" w:hint="eastAsia"/>
          <w:sz w:val="30"/>
          <w:szCs w:val="30"/>
        </w:rPr>
        <w:t>，</w:t>
      </w:r>
      <w:r>
        <w:rPr>
          <w:rFonts w:ascii="楷体_GB2312" w:eastAsia="楷体_GB2312"/>
          <w:sz w:val="30"/>
          <w:szCs w:val="30"/>
        </w:rPr>
        <w:t>线下交流少的短板</w:t>
      </w:r>
      <w:r>
        <w:rPr>
          <w:rFonts w:ascii="楷体_GB2312" w:eastAsia="楷体_GB2312" w:hint="eastAsia"/>
          <w:sz w:val="30"/>
          <w:szCs w:val="30"/>
        </w:rPr>
        <w:t>。</w:t>
      </w:r>
      <w:r w:rsidRPr="0069461F">
        <w:rPr>
          <w:rFonts w:ascii="楷体_GB2312" w:eastAsia="楷体_GB2312" w:hint="eastAsia"/>
          <w:sz w:val="30"/>
          <w:szCs w:val="30"/>
        </w:rPr>
        <w:t>在河南省教育厅、国家</w:t>
      </w:r>
      <w:r>
        <w:rPr>
          <w:rFonts w:ascii="楷体_GB2312" w:eastAsia="楷体_GB2312" w:hint="eastAsia"/>
          <w:sz w:val="30"/>
          <w:szCs w:val="30"/>
        </w:rPr>
        <w:t>教育部公布的2016年高校辅导员工作精品项目中，我院“辅导员‘陪伴成长’工程”成功入选，</w:t>
      </w:r>
      <w:r w:rsidRPr="0069461F">
        <w:rPr>
          <w:rFonts w:ascii="楷体_GB2312" w:eastAsia="楷体_GB2312" w:hint="eastAsia"/>
          <w:sz w:val="30"/>
          <w:szCs w:val="30"/>
        </w:rPr>
        <w:t>并荣获“2016年度河南省高等学校思想政治工作优秀品牌”</w:t>
      </w:r>
      <w:r>
        <w:rPr>
          <w:rFonts w:ascii="楷体_GB2312" w:eastAsia="楷体_GB2312" w:hint="eastAsia"/>
          <w:sz w:val="30"/>
          <w:szCs w:val="30"/>
        </w:rPr>
        <w:t>。</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lastRenderedPageBreak/>
        <w:t>2. 实施宿舍文化建设工程</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以宿舍为一个单位，为一个细胞，进行家庭式和细胞式教育、管理和服务工作。改善宿舍氛围，培养集体凝聚力、合作意识和大局意识；淡化宿舍矛盾，增加同宿和不同宿成员的接触机会，使学生基本能够做到在非原则性问题上相互包容相互理解；考评宿舍文化和氛围，将宿舍文化活动和整体素质纳入综合测评考察范围，以宿舍集体为考量单位，制定具体细则，化学生的被动接受为积极动力，促使他们以良好的心态建设宿舍文化。</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3. 成功举办“第八届法律文化节”</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传承历届法律文化节的优良传统，以“弘扬宪法精神，共建法治校园”为主题，搭建普法平台，开展一系列独具特色的活动，丰富普法形式。增强了广大学生知法、懂法、守法、护法意识，有利于营造良好校园文化氛围，对倡导法治文明，建设社会主义法治国家起到了积极作用。</w:t>
      </w:r>
    </w:p>
    <w:p w:rsidR="00BE237F" w:rsidRDefault="0069461F">
      <w:pPr>
        <w:spacing w:line="460" w:lineRule="exact"/>
        <w:ind w:firstLineChars="200" w:firstLine="600"/>
        <w:rPr>
          <w:rFonts w:ascii="黑体" w:eastAsia="黑体"/>
          <w:sz w:val="30"/>
          <w:szCs w:val="30"/>
        </w:rPr>
      </w:pPr>
      <w:r>
        <w:rPr>
          <w:rFonts w:ascii="黑体" w:eastAsia="黑体" w:hint="eastAsia"/>
          <w:sz w:val="30"/>
          <w:szCs w:val="30"/>
        </w:rPr>
        <w:t>七、党的建设、宣传思想工作</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1. 扎实开展“两学一做”学习教育活动</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按照中央、省委和学校党委有关文件要求和会议</w:t>
      </w:r>
      <w:r>
        <w:rPr>
          <w:rFonts w:ascii="楷体_GB2312" w:eastAsia="楷体_GB2312"/>
          <w:sz w:val="30"/>
          <w:szCs w:val="30"/>
        </w:rPr>
        <w:t>精神</w:t>
      </w:r>
      <w:r>
        <w:rPr>
          <w:rFonts w:ascii="楷体_GB2312" w:eastAsia="楷体_GB2312" w:hint="eastAsia"/>
          <w:sz w:val="30"/>
          <w:szCs w:val="30"/>
        </w:rPr>
        <w:t>，扎实开展“两学一做”学习教育活动，主要包括以下三个方面。第一，根据“两学一做”学习教育工作的总体安排和学校党委的统一部署，认真开展三个专题的学习教育。第二，完善《法学院开展“两学一做”学习教育实施方案》，召开中心组学习研讨会、党支部民主生活会、学习心得交流会等，积极推进全院 “两学一做”</w:t>
      </w:r>
      <w:r>
        <w:rPr>
          <w:rFonts w:ascii="楷体_GB2312" w:eastAsia="楷体_GB2312" w:hint="eastAsia"/>
          <w:sz w:val="30"/>
          <w:szCs w:val="30"/>
        </w:rPr>
        <w:lastRenderedPageBreak/>
        <w:t>学习教育活动；第三，开展</w:t>
      </w:r>
      <w:r>
        <w:rPr>
          <w:rFonts w:ascii="楷体_GB2312" w:eastAsia="楷体_GB2312"/>
          <w:sz w:val="30"/>
          <w:szCs w:val="30"/>
        </w:rPr>
        <w:t>微信晒</w:t>
      </w:r>
      <w:r>
        <w:rPr>
          <w:rFonts w:ascii="楷体_GB2312" w:eastAsia="楷体_GB2312" w:hint="eastAsia"/>
          <w:sz w:val="30"/>
          <w:szCs w:val="30"/>
        </w:rPr>
        <w:t>手抄党章，支部书记讲党课，</w:t>
      </w:r>
      <w:r>
        <w:rPr>
          <w:rFonts w:ascii="楷体_GB2312" w:eastAsia="楷体_GB2312"/>
          <w:sz w:val="30"/>
          <w:szCs w:val="30"/>
        </w:rPr>
        <w:t>重温入党志愿</w:t>
      </w:r>
      <w:r>
        <w:rPr>
          <w:rFonts w:ascii="楷体_GB2312" w:eastAsia="楷体_GB2312" w:hint="eastAsia"/>
          <w:sz w:val="30"/>
          <w:szCs w:val="30"/>
        </w:rPr>
        <w:t>，回龙村教育基地实地学习等活动，丰富学习形式，提升活动成果。</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2. 落实党风廉政建设主体责任及反腐倡廉建设</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强化党风廉政建设责任制和“一岗双责”，落实党风廉政建设主体责任，认真落实民主集中制原则，开展经常性的谈心谈话，让“红红脸、出出汗”成为常态，积极开展反腐倡廉建设，防范各类风险。</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3. 加强基层党组织建设，严格党员教育管理</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加强党支部建设，根据巡视自查要求，将教工党支部分为两个支部，选配班子成员担任党支部书记。加强党员队伍建设，严格按照“十六字”方针，做好发展党员工作，全年共发展学生党员60人，转正61人。加强干部队伍建设，进一步推进干部选拔任用工作的民主化、规范化和制度化建设，优化干部队伍结构，</w:t>
      </w:r>
      <w:r w:rsidRPr="0069461F">
        <w:rPr>
          <w:rFonts w:ascii="楷体_GB2312" w:eastAsia="楷体_GB2312" w:hint="eastAsia"/>
          <w:sz w:val="30"/>
          <w:szCs w:val="30"/>
        </w:rPr>
        <w:t>提拔2名副处级干部，交流3名处级干部，</w:t>
      </w:r>
      <w:r>
        <w:rPr>
          <w:rFonts w:ascii="楷体_GB2312" w:eastAsia="楷体_GB2312" w:hint="eastAsia"/>
          <w:sz w:val="30"/>
          <w:szCs w:val="30"/>
        </w:rPr>
        <w:t>完成2016年科级干部集中调整工作，新提拔6名优秀人才担任科级干部。</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4. 实施党建网格化工程</w:t>
      </w:r>
    </w:p>
    <w:p w:rsidR="00BE237F" w:rsidRDefault="0069461F">
      <w:pPr>
        <w:ind w:firstLineChars="200" w:firstLine="600"/>
        <w:jc w:val="left"/>
        <w:rPr>
          <w:rFonts w:ascii="楷体_GB2312" w:eastAsia="楷体_GB2312"/>
          <w:sz w:val="30"/>
          <w:szCs w:val="30"/>
        </w:rPr>
      </w:pPr>
      <w:r>
        <w:rPr>
          <w:rFonts w:ascii="楷体_GB2312" w:eastAsia="楷体_GB2312"/>
          <w:sz w:val="30"/>
          <w:szCs w:val="30"/>
        </w:rPr>
        <w:t>以基层党支部为脉络，以全体党员学生为服务对象，充分运用网格理念，划分出的四层级网格。创设</w:t>
      </w:r>
      <w:r>
        <w:rPr>
          <w:rFonts w:ascii="楷体_GB2312" w:eastAsia="楷体_GB2312"/>
          <w:sz w:val="30"/>
          <w:szCs w:val="30"/>
        </w:rPr>
        <w:t>“</w:t>
      </w:r>
      <w:r>
        <w:rPr>
          <w:rFonts w:ascii="楷体_GB2312" w:eastAsia="楷体_GB2312"/>
          <w:sz w:val="30"/>
          <w:szCs w:val="30"/>
        </w:rPr>
        <w:t>一大板块</w:t>
      </w:r>
      <w:r>
        <w:rPr>
          <w:rFonts w:ascii="楷体_GB2312" w:eastAsia="楷体_GB2312"/>
          <w:sz w:val="30"/>
          <w:szCs w:val="30"/>
        </w:rPr>
        <w:t>”</w:t>
      </w:r>
      <w:r>
        <w:rPr>
          <w:rFonts w:ascii="楷体_GB2312" w:eastAsia="楷体_GB2312"/>
          <w:sz w:val="30"/>
          <w:szCs w:val="30"/>
        </w:rPr>
        <w:t>、</w:t>
      </w:r>
      <w:r>
        <w:rPr>
          <w:rFonts w:ascii="楷体_GB2312" w:eastAsia="楷体_GB2312"/>
          <w:sz w:val="30"/>
          <w:szCs w:val="30"/>
        </w:rPr>
        <w:t>“</w:t>
      </w:r>
      <w:r>
        <w:rPr>
          <w:rFonts w:ascii="楷体_GB2312" w:eastAsia="楷体_GB2312"/>
          <w:sz w:val="30"/>
          <w:szCs w:val="30"/>
        </w:rPr>
        <w:t>四个专业、四个年级</w:t>
      </w:r>
      <w:r>
        <w:rPr>
          <w:rFonts w:ascii="楷体_GB2312" w:eastAsia="楷体_GB2312"/>
          <w:sz w:val="30"/>
          <w:szCs w:val="30"/>
        </w:rPr>
        <w:t>”</w:t>
      </w:r>
      <w:r>
        <w:rPr>
          <w:rFonts w:ascii="楷体_GB2312" w:eastAsia="楷体_GB2312"/>
          <w:sz w:val="30"/>
          <w:szCs w:val="30"/>
        </w:rPr>
        <w:t>、</w:t>
      </w:r>
      <w:r>
        <w:rPr>
          <w:rFonts w:ascii="楷体_GB2312" w:eastAsia="楷体_GB2312"/>
          <w:sz w:val="30"/>
          <w:szCs w:val="30"/>
        </w:rPr>
        <w:t>“</w:t>
      </w:r>
      <w:r>
        <w:rPr>
          <w:rFonts w:ascii="楷体_GB2312" w:eastAsia="楷体_GB2312" w:hint="eastAsia"/>
          <w:sz w:val="30"/>
          <w:szCs w:val="30"/>
        </w:rPr>
        <w:t>八</w:t>
      </w:r>
      <w:r>
        <w:rPr>
          <w:rFonts w:ascii="楷体_GB2312" w:eastAsia="楷体_GB2312"/>
          <w:sz w:val="30"/>
          <w:szCs w:val="30"/>
        </w:rPr>
        <w:t>个宿舍管理负责人</w:t>
      </w:r>
      <w:r>
        <w:rPr>
          <w:rFonts w:ascii="楷体_GB2312" w:eastAsia="楷体_GB2312"/>
          <w:sz w:val="30"/>
          <w:szCs w:val="30"/>
        </w:rPr>
        <w:t>”</w:t>
      </w:r>
      <w:r>
        <w:rPr>
          <w:rFonts w:ascii="楷体_GB2312" w:eastAsia="楷体_GB2312"/>
          <w:sz w:val="30"/>
          <w:szCs w:val="30"/>
        </w:rPr>
        <w:t>、</w:t>
      </w:r>
      <w:r>
        <w:rPr>
          <w:rFonts w:ascii="楷体_GB2312" w:eastAsia="楷体_GB2312"/>
          <w:sz w:val="30"/>
          <w:szCs w:val="30"/>
        </w:rPr>
        <w:t>“</w:t>
      </w:r>
      <w:r>
        <w:rPr>
          <w:rFonts w:ascii="楷体_GB2312" w:eastAsia="楷体_GB2312" w:hint="eastAsia"/>
          <w:sz w:val="30"/>
          <w:szCs w:val="30"/>
        </w:rPr>
        <w:t>十六</w:t>
      </w:r>
      <w:r>
        <w:rPr>
          <w:rFonts w:ascii="楷体_GB2312" w:eastAsia="楷体_GB2312"/>
          <w:sz w:val="30"/>
          <w:szCs w:val="30"/>
        </w:rPr>
        <w:t>个网格小组</w:t>
      </w:r>
      <w:r>
        <w:rPr>
          <w:rFonts w:ascii="楷体_GB2312" w:eastAsia="楷体_GB2312"/>
          <w:sz w:val="30"/>
          <w:szCs w:val="30"/>
        </w:rPr>
        <w:t>”</w:t>
      </w:r>
      <w:r>
        <w:rPr>
          <w:rFonts w:ascii="楷体_GB2312" w:eastAsia="楷体_GB2312" w:hint="eastAsia"/>
          <w:sz w:val="30"/>
          <w:szCs w:val="30"/>
        </w:rPr>
        <w:t>的</w:t>
      </w:r>
      <w:r>
        <w:rPr>
          <w:rFonts w:ascii="楷体_GB2312" w:eastAsia="楷体_GB2312"/>
          <w:sz w:val="30"/>
          <w:szCs w:val="30"/>
        </w:rPr>
        <w:t>四级网格管理模式。</w:t>
      </w:r>
      <w:r>
        <w:rPr>
          <w:rFonts w:ascii="楷体_GB2312" w:eastAsia="楷体_GB2312" w:hint="eastAsia"/>
          <w:sz w:val="30"/>
          <w:szCs w:val="30"/>
        </w:rPr>
        <w:t>创新党建工作模式，增强党建工作的实效性。</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t>5. 加强学院文化宣传与氛围建设</w:t>
      </w:r>
    </w:p>
    <w:p w:rsidR="00BE237F" w:rsidRDefault="0069461F">
      <w:pPr>
        <w:ind w:firstLineChars="200" w:firstLine="600"/>
        <w:jc w:val="left"/>
        <w:rPr>
          <w:rFonts w:ascii="楷体_GB2312" w:eastAsia="楷体_GB2312"/>
          <w:sz w:val="30"/>
          <w:szCs w:val="30"/>
        </w:rPr>
      </w:pPr>
      <w:r>
        <w:rPr>
          <w:rFonts w:ascii="楷体_GB2312" w:eastAsia="楷体_GB2312" w:hint="eastAsia"/>
          <w:sz w:val="30"/>
          <w:szCs w:val="30"/>
        </w:rPr>
        <w:lastRenderedPageBreak/>
        <w:t>成立学院宣传领导小组，明晰成员岗位职责，改版学院官网主页，建设学院微信公众平台，进一步发挥其宣传窗口的作用；对学院学人风采墙及时进行了更新，进一步展现学院师资力量和教师风采；制作学院培训宣传册、笔记本、文件袋等，丰富学院文化宣传载体。</w:t>
      </w:r>
    </w:p>
    <w:p w:rsidR="00BE237F" w:rsidRDefault="0069461F">
      <w:pPr>
        <w:spacing w:line="460" w:lineRule="exact"/>
        <w:ind w:firstLineChars="200" w:firstLine="600"/>
        <w:rPr>
          <w:rFonts w:ascii="黑体" w:eastAsia="黑体"/>
          <w:sz w:val="30"/>
          <w:szCs w:val="30"/>
        </w:rPr>
      </w:pPr>
      <w:r>
        <w:rPr>
          <w:rFonts w:ascii="黑体" w:eastAsia="黑体" w:hint="eastAsia"/>
          <w:sz w:val="30"/>
          <w:szCs w:val="30"/>
        </w:rPr>
        <w:t>八、谋划我院“十三五”事业发展</w:t>
      </w:r>
    </w:p>
    <w:p w:rsidR="00BE237F" w:rsidRDefault="0069461F">
      <w:pPr>
        <w:ind w:firstLineChars="200" w:firstLine="600"/>
        <w:jc w:val="left"/>
        <w:rPr>
          <w:rFonts w:ascii="楷体_GB2312" w:eastAsia="楷体_GB2312"/>
          <w:sz w:val="30"/>
          <w:szCs w:val="30"/>
        </w:rPr>
      </w:pPr>
      <w:r>
        <w:rPr>
          <w:rFonts w:ascii="楷体_GB2312" w:eastAsia="楷体_GB2312"/>
          <w:sz w:val="30"/>
          <w:szCs w:val="30"/>
        </w:rPr>
        <w:t>紧紧围绕</w:t>
      </w:r>
      <w:r>
        <w:rPr>
          <w:rFonts w:ascii="楷体_GB2312" w:eastAsia="楷体_GB2312" w:hint="eastAsia"/>
          <w:sz w:val="30"/>
          <w:szCs w:val="30"/>
        </w:rPr>
        <w:t>学校“</w:t>
      </w:r>
      <w:r>
        <w:rPr>
          <w:rFonts w:ascii="楷体_GB2312" w:eastAsia="楷体_GB2312"/>
          <w:sz w:val="30"/>
          <w:szCs w:val="30"/>
        </w:rPr>
        <w:t>十</w:t>
      </w:r>
      <w:r>
        <w:rPr>
          <w:rFonts w:ascii="楷体_GB2312" w:eastAsia="楷体_GB2312" w:hint="eastAsia"/>
          <w:sz w:val="30"/>
          <w:szCs w:val="30"/>
        </w:rPr>
        <w:t>三</w:t>
      </w:r>
      <w:r>
        <w:rPr>
          <w:rFonts w:ascii="楷体_GB2312" w:eastAsia="楷体_GB2312"/>
          <w:sz w:val="30"/>
          <w:szCs w:val="30"/>
        </w:rPr>
        <w:t>五</w:t>
      </w:r>
      <w:r>
        <w:rPr>
          <w:rFonts w:ascii="楷体_GB2312" w:eastAsia="楷体_GB2312" w:hint="eastAsia"/>
          <w:sz w:val="30"/>
          <w:szCs w:val="30"/>
        </w:rPr>
        <w:t>”</w:t>
      </w:r>
      <w:r>
        <w:rPr>
          <w:rFonts w:ascii="楷体_GB2312" w:eastAsia="楷体_GB2312"/>
          <w:sz w:val="30"/>
          <w:szCs w:val="30"/>
        </w:rPr>
        <w:t>发展规划具体要求</w:t>
      </w:r>
      <w:r>
        <w:rPr>
          <w:rFonts w:ascii="楷体_GB2312" w:eastAsia="楷体_GB2312" w:hint="eastAsia"/>
          <w:sz w:val="30"/>
          <w:szCs w:val="30"/>
        </w:rPr>
        <w:t>，通过各种形式谋划学院“十三五”发展规划。经过较长时间的酝酿与筹备召开学院全面深化综合改革方案研讨会，进一步落实学校《关于对学校全面深化综合改革进行基础性研讨的通知》文件要求，结合学院实际就学校跨入省部共建后学校管理、校园文化、人才引进、收入分配、优势特色学科建设、研究生培养、后勤保障和社会服务等方面展开了讨论，对学校和学院全面深化综合改革提出了建议和意见。在此基础上，广泛征求意见，制订《河南师范大学法学院“十三五”发展规划》。</w:t>
      </w:r>
      <w:r>
        <w:rPr>
          <w:rFonts w:ascii="楷体_GB2312" w:eastAsia="楷体_GB2312"/>
          <w:sz w:val="30"/>
          <w:szCs w:val="30"/>
        </w:rPr>
        <w:t>充分利用有利的发展环境，大胆创新，迎难而上，</w:t>
      </w:r>
      <w:r>
        <w:rPr>
          <w:rFonts w:ascii="楷体_GB2312" w:eastAsia="楷体_GB2312" w:hint="eastAsia"/>
          <w:sz w:val="30"/>
          <w:szCs w:val="30"/>
        </w:rPr>
        <w:t>坚持特色</w:t>
      </w:r>
      <w:r>
        <w:rPr>
          <w:rFonts w:ascii="楷体_GB2312" w:eastAsia="楷体_GB2312"/>
          <w:sz w:val="30"/>
          <w:szCs w:val="30"/>
        </w:rPr>
        <w:t>发展，</w:t>
      </w:r>
      <w:r>
        <w:rPr>
          <w:rFonts w:ascii="楷体_GB2312" w:eastAsia="楷体_GB2312" w:hint="eastAsia"/>
          <w:sz w:val="30"/>
          <w:szCs w:val="30"/>
        </w:rPr>
        <w:t>争取</w:t>
      </w:r>
      <w:r>
        <w:rPr>
          <w:rFonts w:ascii="楷体_GB2312" w:eastAsia="楷体_GB2312"/>
          <w:sz w:val="30"/>
          <w:szCs w:val="30"/>
        </w:rPr>
        <w:t>实现更高层次突破，全面提升我院的实力和竞争力</w:t>
      </w:r>
      <w:r>
        <w:rPr>
          <w:rFonts w:ascii="楷体_GB2312" w:eastAsia="楷体_GB2312" w:hint="eastAsia"/>
          <w:sz w:val="30"/>
          <w:szCs w:val="30"/>
        </w:rPr>
        <w:t>。</w:t>
      </w:r>
    </w:p>
    <w:sectPr w:rsidR="00BE237F" w:rsidSect="00BE237F">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EE8" w:rsidRDefault="00FA7EE8" w:rsidP="00A50821">
      <w:r>
        <w:separator/>
      </w:r>
    </w:p>
  </w:endnote>
  <w:endnote w:type="continuationSeparator" w:id="0">
    <w:p w:rsidR="00FA7EE8" w:rsidRDefault="00FA7EE8" w:rsidP="00A508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EE8" w:rsidRDefault="00FA7EE8" w:rsidP="00A50821">
      <w:r>
        <w:separator/>
      </w:r>
    </w:p>
  </w:footnote>
  <w:footnote w:type="continuationSeparator" w:id="0">
    <w:p w:rsidR="00FA7EE8" w:rsidRDefault="00FA7EE8" w:rsidP="00A508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0"/>
  <w:drawingGridVerticalSpacing w:val="156"/>
  <w:noPunctuationKerning/>
  <w:characterSpacingControl w:val="compressPunctuation"/>
  <w:doNotValidateAgainstSchema/>
  <w:doNotDemarcateInvalidXml/>
  <w:hdrShapeDefaults>
    <o:shapedefaults v:ext="edit" spidmax="10242"/>
  </w:hdrShapeDefaults>
  <w:footnotePr>
    <w:footnote w:id="-1"/>
    <w:footnote w:id="0"/>
  </w:footnotePr>
  <w:endnotePr>
    <w:endnote w:id="-1"/>
    <w:endnote w:id="0"/>
  </w:endnotePr>
  <w:compat>
    <w:spaceForUL/>
    <w:balanceSingleByteDoubleByteWidth/>
    <w:doNotLeaveBackslashAlone/>
    <w:ulTrailSpace/>
    <w:adjustLineHeightInTable/>
    <w:useFELayout/>
  </w:compat>
  <w:rsids>
    <w:rsidRoot w:val="00172A27"/>
    <w:rsid w:val="000F1581"/>
    <w:rsid w:val="00111540"/>
    <w:rsid w:val="00122890"/>
    <w:rsid w:val="00124542"/>
    <w:rsid w:val="00172A27"/>
    <w:rsid w:val="00197375"/>
    <w:rsid w:val="0020662A"/>
    <w:rsid w:val="00207E7F"/>
    <w:rsid w:val="00220314"/>
    <w:rsid w:val="003F23E0"/>
    <w:rsid w:val="00400A08"/>
    <w:rsid w:val="004036B2"/>
    <w:rsid w:val="00411558"/>
    <w:rsid w:val="004211B2"/>
    <w:rsid w:val="00520FCA"/>
    <w:rsid w:val="00586C62"/>
    <w:rsid w:val="005A1D03"/>
    <w:rsid w:val="005C3B30"/>
    <w:rsid w:val="005F0356"/>
    <w:rsid w:val="005F5FD1"/>
    <w:rsid w:val="00601834"/>
    <w:rsid w:val="00605278"/>
    <w:rsid w:val="0069461F"/>
    <w:rsid w:val="00696006"/>
    <w:rsid w:val="00701681"/>
    <w:rsid w:val="00756683"/>
    <w:rsid w:val="007B16D4"/>
    <w:rsid w:val="007E0654"/>
    <w:rsid w:val="00801DE2"/>
    <w:rsid w:val="008A63D6"/>
    <w:rsid w:val="00A35D6B"/>
    <w:rsid w:val="00A50821"/>
    <w:rsid w:val="00B44DAD"/>
    <w:rsid w:val="00B50D00"/>
    <w:rsid w:val="00B60B46"/>
    <w:rsid w:val="00BE237F"/>
    <w:rsid w:val="00CE6960"/>
    <w:rsid w:val="00CF398A"/>
    <w:rsid w:val="00D26CE2"/>
    <w:rsid w:val="00DC4A2D"/>
    <w:rsid w:val="00E33114"/>
    <w:rsid w:val="00E3644A"/>
    <w:rsid w:val="00E621F3"/>
    <w:rsid w:val="00E91141"/>
    <w:rsid w:val="00EC39F0"/>
    <w:rsid w:val="00EE0F3B"/>
    <w:rsid w:val="00F002A9"/>
    <w:rsid w:val="00F8034E"/>
    <w:rsid w:val="00FA7EE8"/>
    <w:rsid w:val="068B5B21"/>
    <w:rsid w:val="06FB051B"/>
    <w:rsid w:val="0A196037"/>
    <w:rsid w:val="0E280947"/>
    <w:rsid w:val="0E3C75E8"/>
    <w:rsid w:val="146119A5"/>
    <w:rsid w:val="16227CB5"/>
    <w:rsid w:val="1C4B637C"/>
    <w:rsid w:val="30516DDE"/>
    <w:rsid w:val="3333537B"/>
    <w:rsid w:val="3346062B"/>
    <w:rsid w:val="33DC07CA"/>
    <w:rsid w:val="372940B4"/>
    <w:rsid w:val="386074C7"/>
    <w:rsid w:val="3A5E4E28"/>
    <w:rsid w:val="3A7257F0"/>
    <w:rsid w:val="3B872E83"/>
    <w:rsid w:val="3EEA46C5"/>
    <w:rsid w:val="43F22C5C"/>
    <w:rsid w:val="46060CFE"/>
    <w:rsid w:val="4BAD002D"/>
    <w:rsid w:val="54C31975"/>
    <w:rsid w:val="56C77E0D"/>
    <w:rsid w:val="580A43FE"/>
    <w:rsid w:val="5A145AD8"/>
    <w:rsid w:val="64C63650"/>
    <w:rsid w:val="770534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37F"/>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rsid w:val="00BE237F"/>
    <w:pPr>
      <w:jc w:val="left"/>
    </w:pPr>
  </w:style>
  <w:style w:type="paragraph" w:styleId="a4">
    <w:name w:val="footer"/>
    <w:basedOn w:val="a"/>
    <w:rsid w:val="00BE237F"/>
    <w:pPr>
      <w:tabs>
        <w:tab w:val="center" w:pos="4153"/>
        <w:tab w:val="right" w:pos="8306"/>
      </w:tabs>
      <w:snapToGrid w:val="0"/>
      <w:jc w:val="left"/>
    </w:pPr>
    <w:rPr>
      <w:sz w:val="18"/>
    </w:rPr>
  </w:style>
  <w:style w:type="paragraph" w:styleId="a5">
    <w:name w:val="header"/>
    <w:basedOn w:val="a"/>
    <w:qFormat/>
    <w:rsid w:val="00BE237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rsid w:val="00BE237F"/>
    <w:pPr>
      <w:spacing w:beforeAutospacing="1" w:afterAutospacing="1"/>
      <w:jc w:val="left"/>
    </w:pPr>
    <w:rPr>
      <w:rFonts w:asciiTheme="minorHAnsi" w:eastAsiaTheme="minorEastAsia" w:hAnsiTheme="minorHAnsi"/>
      <w:kern w:val="0"/>
      <w:sz w:val="24"/>
      <w:szCs w:val="24"/>
    </w:rPr>
  </w:style>
  <w:style w:type="character" w:styleId="a7">
    <w:name w:val="Strong"/>
    <w:basedOn w:val="a0"/>
    <w:uiPriority w:val="22"/>
    <w:qFormat/>
    <w:rsid w:val="00BE237F"/>
    <w:rPr>
      <w:b/>
      <w:bCs/>
    </w:rPr>
  </w:style>
  <w:style w:type="character" w:styleId="a8">
    <w:name w:val="page number"/>
    <w:basedOn w:val="a0"/>
    <w:uiPriority w:val="99"/>
    <w:unhideWhenUsed/>
    <w:qFormat/>
    <w:rsid w:val="00BE237F"/>
  </w:style>
  <w:style w:type="character" w:customStyle="1" w:styleId="articletitle">
    <w:name w:val="article_title"/>
    <w:basedOn w:val="a0"/>
    <w:qFormat/>
    <w:rsid w:val="00BE237F"/>
  </w:style>
  <w:style w:type="character" w:customStyle="1" w:styleId="apple-converted-space">
    <w:name w:val="apple-converted-space"/>
    <w:basedOn w:val="a0"/>
    <w:qFormat/>
    <w:rsid w:val="00BE237F"/>
  </w:style>
</w:styles>
</file>

<file path=word/webSettings.xml><?xml version="1.0" encoding="utf-8"?>
<w:webSettings xmlns:r="http://schemas.openxmlformats.org/officeDocument/2006/relationships" xmlns:w="http://schemas.openxmlformats.org/wordprocessingml/2006/main">
  <w:divs>
    <w:div w:id="470250074">
      <w:bodyDiv w:val="1"/>
      <w:marLeft w:val="0"/>
      <w:marRight w:val="0"/>
      <w:marTop w:val="0"/>
      <w:marBottom w:val="0"/>
      <w:divBdr>
        <w:top w:val="none" w:sz="0" w:space="0" w:color="auto"/>
        <w:left w:val="none" w:sz="0" w:space="0" w:color="auto"/>
        <w:bottom w:val="none" w:sz="0" w:space="0" w:color="auto"/>
        <w:right w:val="none" w:sz="0" w:space="0" w:color="auto"/>
      </w:divBdr>
      <w:divsChild>
        <w:div w:id="627931826">
          <w:marLeft w:val="0"/>
          <w:marRight w:val="0"/>
          <w:marTop w:val="0"/>
          <w:marBottom w:val="0"/>
          <w:divBdr>
            <w:top w:val="none" w:sz="0" w:space="0" w:color="auto"/>
            <w:left w:val="none" w:sz="0" w:space="0" w:color="auto"/>
            <w:bottom w:val="none" w:sz="0" w:space="0" w:color="auto"/>
            <w:right w:val="none" w:sz="0" w:space="0" w:color="auto"/>
          </w:divBdr>
        </w:div>
      </w:divsChild>
    </w:div>
    <w:div w:id="742068461">
      <w:bodyDiv w:val="1"/>
      <w:marLeft w:val="0"/>
      <w:marRight w:val="0"/>
      <w:marTop w:val="0"/>
      <w:marBottom w:val="0"/>
      <w:divBdr>
        <w:top w:val="none" w:sz="0" w:space="0" w:color="auto"/>
        <w:left w:val="none" w:sz="0" w:space="0" w:color="auto"/>
        <w:bottom w:val="none" w:sz="0" w:space="0" w:color="auto"/>
        <w:right w:val="none" w:sz="0" w:space="0" w:color="auto"/>
      </w:divBdr>
    </w:div>
    <w:div w:id="843587195">
      <w:bodyDiv w:val="1"/>
      <w:marLeft w:val="0"/>
      <w:marRight w:val="0"/>
      <w:marTop w:val="0"/>
      <w:marBottom w:val="0"/>
      <w:divBdr>
        <w:top w:val="none" w:sz="0" w:space="0" w:color="auto"/>
        <w:left w:val="none" w:sz="0" w:space="0" w:color="auto"/>
        <w:bottom w:val="none" w:sz="0" w:space="0" w:color="auto"/>
        <w:right w:val="none" w:sz="0" w:space="0" w:color="auto"/>
      </w:divBdr>
    </w:div>
    <w:div w:id="880630302">
      <w:bodyDiv w:val="1"/>
      <w:marLeft w:val="0"/>
      <w:marRight w:val="0"/>
      <w:marTop w:val="0"/>
      <w:marBottom w:val="0"/>
      <w:divBdr>
        <w:top w:val="none" w:sz="0" w:space="0" w:color="auto"/>
        <w:left w:val="none" w:sz="0" w:space="0" w:color="auto"/>
        <w:bottom w:val="none" w:sz="0" w:space="0" w:color="auto"/>
        <w:right w:val="none" w:sz="0" w:space="0" w:color="auto"/>
      </w:divBdr>
      <w:divsChild>
        <w:div w:id="1604267543">
          <w:marLeft w:val="0"/>
          <w:marRight w:val="0"/>
          <w:marTop w:val="0"/>
          <w:marBottom w:val="0"/>
          <w:divBdr>
            <w:top w:val="none" w:sz="0" w:space="0" w:color="auto"/>
            <w:left w:val="none" w:sz="0" w:space="0" w:color="auto"/>
            <w:bottom w:val="none" w:sz="0" w:space="0" w:color="auto"/>
            <w:right w:val="none" w:sz="0" w:space="0" w:color="auto"/>
          </w:divBdr>
        </w:div>
      </w:divsChild>
    </w:div>
    <w:div w:id="1518159600">
      <w:bodyDiv w:val="1"/>
      <w:marLeft w:val="0"/>
      <w:marRight w:val="0"/>
      <w:marTop w:val="0"/>
      <w:marBottom w:val="0"/>
      <w:divBdr>
        <w:top w:val="none" w:sz="0" w:space="0" w:color="auto"/>
        <w:left w:val="none" w:sz="0" w:space="0" w:color="auto"/>
        <w:bottom w:val="none" w:sz="0" w:space="0" w:color="auto"/>
        <w:right w:val="none" w:sz="0" w:space="0" w:color="auto"/>
      </w:divBdr>
    </w:div>
    <w:div w:id="2082286757">
      <w:bodyDiv w:val="1"/>
      <w:marLeft w:val="0"/>
      <w:marRight w:val="0"/>
      <w:marTop w:val="0"/>
      <w:marBottom w:val="0"/>
      <w:divBdr>
        <w:top w:val="none" w:sz="0" w:space="0" w:color="auto"/>
        <w:left w:val="none" w:sz="0" w:space="0" w:color="auto"/>
        <w:bottom w:val="none" w:sz="0" w:space="0" w:color="auto"/>
        <w:right w:val="none" w:sz="0" w:space="0" w:color="auto"/>
      </w:divBdr>
      <w:divsChild>
        <w:div w:id="20202293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669</Words>
  <Characters>3816</Characters>
  <Application>Microsoft Office Word</Application>
  <DocSecurity>0</DocSecurity>
  <Lines>31</Lines>
  <Paragraphs>8</Paragraphs>
  <ScaleCrop>false</ScaleCrop>
  <Company/>
  <LinksUpToDate>false</LinksUpToDate>
  <CharactersWithSpaces>4477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法学院2014年工作计划补充要点</dc:title>
  <dc:creator>Administrator</dc:creator>
  <cp:lastModifiedBy>Administrator</cp:lastModifiedBy>
  <cp:revision>19</cp:revision>
  <dcterms:created xsi:type="dcterms:W3CDTF">2016-12-15T07:21:00Z</dcterms:created>
  <dcterms:modified xsi:type="dcterms:W3CDTF">2016-12-19T01:23:00Z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