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atLeas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河南师范大学第五届</w:t>
      </w:r>
      <w:r>
        <w:rPr>
          <w:rFonts w:hint="eastAsia" w:ascii="方正小标宋简体" w:hAnsi="方正小标宋简体" w:eastAsia="方正小标宋简体" w:cs="方正小标宋简体"/>
          <w:sz w:val="44"/>
          <w:szCs w:val="44"/>
        </w:rPr>
        <w:t>“阅享经典</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书香师大</w:t>
      </w:r>
      <w:r>
        <w:rPr>
          <w:rFonts w:ascii="方正小标宋简体" w:hAnsi="方正小标宋简体" w:cs="方正小标宋简体" w:eastAsiaTheme="minorEastAsia"/>
          <w:sz w:val="44"/>
          <w:szCs w:val="44"/>
        </w:rPr>
        <w:t>”</w:t>
      </w:r>
      <w:r>
        <w:rPr>
          <w:rFonts w:hint="eastAsia" w:ascii="方正小标宋简体" w:hAnsi="方正小标宋简体" w:eastAsia="方正小标宋简体" w:cs="方正小标宋简体"/>
          <w:sz w:val="44"/>
          <w:szCs w:val="44"/>
          <w:lang w:val="en-US" w:eastAsia="zh-CN"/>
        </w:rPr>
        <w:t>之</w:t>
      </w:r>
      <w:r>
        <w:rPr>
          <w:rFonts w:hint="eastAsia" w:ascii="方正小标宋简体" w:hAnsi="方正小标宋简体" w:eastAsia="方正小标宋简体" w:cs="方正小标宋简体"/>
          <w:sz w:val="44"/>
          <w:szCs w:val="44"/>
        </w:rPr>
        <w:t>“读书领航</w:t>
      </w:r>
      <w:r>
        <w:rPr>
          <w:rFonts w:ascii="方正小标宋简体" w:hAnsi="方正小标宋简体" w:cs="方正小标宋简体" w:eastAsiaTheme="minorEastAsia"/>
          <w:sz w:val="44"/>
          <w:szCs w:val="44"/>
        </w:rPr>
        <w:t>”</w:t>
      </w:r>
      <w:r>
        <w:rPr>
          <w:rFonts w:hint="eastAsia" w:ascii="方正小标宋简体" w:hAnsi="方正小标宋简体" w:eastAsia="方正小标宋简体" w:cs="方正小标宋简体"/>
          <w:sz w:val="44"/>
          <w:szCs w:val="44"/>
        </w:rPr>
        <w:t>活动实施方案</w:t>
      </w:r>
    </w:p>
    <w:p>
      <w:pPr>
        <w:spacing w:line="560" w:lineRule="exact"/>
        <w:outlineLvl w:val="0"/>
        <w:rPr>
          <w:rFonts w:ascii="黑体" w:hAnsi="黑体" w:eastAsia="黑体" w:cs="黑体"/>
          <w:sz w:val="32"/>
          <w:szCs w:val="32"/>
        </w:rPr>
      </w:pPr>
      <w:r>
        <w:rPr>
          <w:rFonts w:hint="eastAsia" w:ascii="黑体" w:hAnsi="黑体" w:eastAsia="黑体" w:cs="黑体"/>
          <w:sz w:val="32"/>
          <w:szCs w:val="32"/>
        </w:rPr>
        <w:t>一、活动主题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扬帆书舟出校园，启航引领开书源</w:t>
      </w:r>
    </w:p>
    <w:p>
      <w:pPr>
        <w:spacing w:line="560" w:lineRule="exact"/>
        <w:outlineLvl w:val="0"/>
        <w:rPr>
          <w:rFonts w:ascii="黑体" w:hAnsi="黑体" w:eastAsia="黑体" w:cs="黑体"/>
          <w:sz w:val="32"/>
          <w:szCs w:val="32"/>
        </w:rPr>
      </w:pPr>
      <w:r>
        <w:rPr>
          <w:rFonts w:hint="eastAsia" w:ascii="黑体" w:hAnsi="黑体" w:eastAsia="黑体" w:cs="黑体"/>
          <w:sz w:val="32"/>
          <w:szCs w:val="32"/>
        </w:rPr>
        <w:t>二、活动时间</w:t>
      </w:r>
    </w:p>
    <w:p>
      <w:pPr>
        <w:spacing w:line="560" w:lineRule="exact"/>
        <w:ind w:firstLine="640" w:firstLineChars="200"/>
        <w:rPr>
          <w:rFonts w:cs="Times New Roman" w:asciiTheme="minorEastAsia" w:hAnsiTheme="minorEastAsia" w:eastAsiaTheme="minorEastAsia"/>
          <w:sz w:val="24"/>
          <w:szCs w:val="24"/>
        </w:rPr>
      </w:pPr>
      <w:r>
        <w:rPr>
          <w:rFonts w:hint="eastAsia" w:ascii="仿宋" w:hAnsi="仿宋" w:eastAsia="仿宋" w:cs="仿宋"/>
          <w:sz w:val="32"/>
          <w:szCs w:val="32"/>
        </w:rPr>
        <w:t>2020年11月—12月</w:t>
      </w:r>
    </w:p>
    <w:p>
      <w:pPr>
        <w:spacing w:line="560" w:lineRule="exact"/>
        <w:outlineLvl w:val="0"/>
        <w:rPr>
          <w:rFonts w:ascii="黑体" w:hAnsi="黑体" w:eastAsia="黑体" w:cs="黑体"/>
          <w:sz w:val="32"/>
          <w:szCs w:val="32"/>
        </w:rPr>
      </w:pPr>
      <w:r>
        <w:rPr>
          <w:rFonts w:hint="eastAsia" w:ascii="黑体" w:hAnsi="黑体" w:eastAsia="黑体" w:cs="黑体"/>
          <w:sz w:val="32"/>
          <w:szCs w:val="32"/>
        </w:rPr>
        <w:t>三、活动地点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河南师范大学附属小学</w:t>
      </w:r>
      <w:r>
        <w:rPr>
          <w:rFonts w:hint="eastAsia" w:ascii="仿宋" w:hAnsi="仿宋" w:eastAsia="仿宋" w:cs="仿宋"/>
          <w:sz w:val="32"/>
          <w:szCs w:val="32"/>
          <w:lang w:eastAsia="zh-CN"/>
        </w:rPr>
        <w:t>、</w:t>
      </w:r>
      <w:r>
        <w:rPr>
          <w:rFonts w:hint="eastAsia" w:ascii="仿宋" w:hAnsi="仿宋" w:eastAsia="仿宋" w:cs="仿宋"/>
          <w:sz w:val="32"/>
          <w:szCs w:val="32"/>
        </w:rPr>
        <w:t>新乡市张村乡裴寨社区</w:t>
      </w:r>
    </w:p>
    <w:p>
      <w:pPr>
        <w:spacing w:line="560" w:lineRule="exact"/>
        <w:outlineLvl w:val="0"/>
        <w:rPr>
          <w:rFonts w:ascii="黑体" w:hAnsi="黑体" w:eastAsia="黑体" w:cs="黑体"/>
          <w:sz w:val="32"/>
          <w:szCs w:val="32"/>
        </w:rPr>
      </w:pPr>
      <w:r>
        <w:rPr>
          <w:rFonts w:hint="eastAsia" w:ascii="黑体" w:hAnsi="黑体" w:eastAsia="黑体" w:cs="黑体"/>
          <w:sz w:val="32"/>
          <w:szCs w:val="32"/>
        </w:rPr>
        <w:t>四、承办单位</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政治与公共管理学院</w:t>
      </w:r>
    </w:p>
    <w:p>
      <w:pPr>
        <w:spacing w:line="560" w:lineRule="exact"/>
        <w:outlineLvl w:val="0"/>
        <w:rPr>
          <w:rFonts w:ascii="黑体" w:hAnsi="黑体" w:eastAsia="黑体" w:cs="黑体"/>
          <w:sz w:val="32"/>
          <w:szCs w:val="32"/>
        </w:rPr>
      </w:pPr>
      <w:r>
        <w:rPr>
          <w:rFonts w:hint="eastAsia" w:ascii="黑体" w:hAnsi="黑体" w:eastAsia="黑体" w:cs="黑体"/>
          <w:sz w:val="32"/>
          <w:szCs w:val="32"/>
        </w:rPr>
        <w:t>五、活动主要内容及实施方案</w:t>
      </w:r>
    </w:p>
    <w:p>
      <w:pPr>
        <w:spacing w:line="560" w:lineRule="exact"/>
        <w:ind w:firstLine="420"/>
        <w:outlineLvl w:val="1"/>
        <w:rPr>
          <w:rFonts w:ascii="楷体" w:hAnsi="楷体" w:eastAsia="楷体" w:cs="楷体"/>
          <w:b/>
          <w:bCs/>
          <w:sz w:val="32"/>
          <w:szCs w:val="32"/>
        </w:rPr>
      </w:pPr>
      <w:r>
        <w:rPr>
          <w:rFonts w:hint="eastAsia" w:ascii="楷体" w:hAnsi="楷体" w:eastAsia="楷体" w:cs="楷体"/>
          <w:b/>
          <w:bCs/>
          <w:sz w:val="32"/>
          <w:szCs w:val="32"/>
        </w:rPr>
        <w:t>（一）前期准备阶段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1.通过河南师范大学学生处微信公众号、各学院（部）新媒体平台做好线上宣传工作，扩大活动影响力</w:t>
      </w:r>
      <w:r>
        <w:rPr>
          <w:rFonts w:hint="eastAsia" w:ascii="仿宋" w:hAnsi="仿宋" w:eastAsia="仿宋" w:cs="仿宋"/>
          <w:sz w:val="32"/>
          <w:szCs w:val="32"/>
          <w:lang w:eastAsia="zh-CN"/>
        </w:rPr>
        <w:t>，</w:t>
      </w:r>
      <w:r>
        <w:rPr>
          <w:rFonts w:hint="eastAsia" w:ascii="仿宋" w:hAnsi="仿宋" w:eastAsia="仿宋" w:cs="仿宋"/>
          <w:sz w:val="32"/>
          <w:szCs w:val="32"/>
        </w:rPr>
        <w:t>动员学生积极参与。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主办</w:t>
      </w:r>
      <w:r>
        <w:rPr>
          <w:rFonts w:hint="eastAsia" w:ascii="仿宋" w:hAnsi="仿宋" w:eastAsia="仿宋" w:cs="仿宋"/>
          <w:sz w:val="32"/>
          <w:szCs w:val="32"/>
          <w:lang w:val="en-US" w:eastAsia="zh-CN"/>
        </w:rPr>
        <w:t>单位</w:t>
      </w:r>
      <w:r>
        <w:rPr>
          <w:rFonts w:hint="eastAsia" w:ascii="仿宋" w:hAnsi="仿宋" w:eastAsia="仿宋" w:cs="仿宋"/>
          <w:sz w:val="32"/>
          <w:szCs w:val="32"/>
        </w:rPr>
        <w:t>做好与河南师范大学附属</w:t>
      </w:r>
      <w:r>
        <w:rPr>
          <w:rFonts w:hint="eastAsia" w:ascii="仿宋" w:hAnsi="仿宋" w:eastAsia="仿宋" w:cs="仿宋"/>
          <w:sz w:val="32"/>
          <w:szCs w:val="32"/>
          <w:lang w:eastAsia="zh-CN"/>
        </w:rPr>
        <w:t>小</w:t>
      </w:r>
      <w:r>
        <w:rPr>
          <w:rFonts w:hint="eastAsia" w:ascii="仿宋" w:hAnsi="仿宋" w:eastAsia="仿宋" w:cs="仿宋"/>
          <w:sz w:val="32"/>
          <w:szCs w:val="32"/>
        </w:rPr>
        <w:t>学</w:t>
      </w:r>
      <w:r>
        <w:rPr>
          <w:rFonts w:hint="eastAsia" w:ascii="仿宋" w:hAnsi="仿宋" w:eastAsia="仿宋" w:cs="仿宋"/>
          <w:sz w:val="32"/>
          <w:szCs w:val="32"/>
          <w:lang w:eastAsia="zh-CN"/>
        </w:rPr>
        <w:t>、承办单位做好与</w:t>
      </w:r>
      <w:r>
        <w:rPr>
          <w:rFonts w:hint="eastAsia" w:ascii="仿宋" w:hAnsi="仿宋" w:eastAsia="仿宋" w:cs="仿宋"/>
          <w:sz w:val="32"/>
          <w:szCs w:val="32"/>
        </w:rPr>
        <w:t>新乡市张村乡裴寨社区</w:t>
      </w:r>
      <w:r>
        <w:rPr>
          <w:rFonts w:hint="eastAsia" w:ascii="仿宋" w:hAnsi="仿宋" w:eastAsia="仿宋" w:cs="仿宋"/>
          <w:sz w:val="32"/>
          <w:szCs w:val="32"/>
          <w:lang w:val="en-US" w:eastAsia="zh-CN"/>
        </w:rPr>
        <w:t>的</w:t>
      </w:r>
      <w:r>
        <w:rPr>
          <w:rFonts w:hint="eastAsia" w:ascii="仿宋" w:hAnsi="仿宋" w:eastAsia="仿宋" w:cs="仿宋"/>
          <w:sz w:val="32"/>
          <w:szCs w:val="32"/>
        </w:rPr>
        <w:t>对接工作，以确保</w:t>
      </w:r>
      <w:r>
        <w:rPr>
          <w:rFonts w:hint="eastAsia" w:ascii="仿宋" w:hAnsi="仿宋" w:eastAsia="仿宋" w:cs="仿宋"/>
          <w:sz w:val="32"/>
          <w:szCs w:val="32"/>
          <w:lang w:eastAsia="zh-CN"/>
        </w:rPr>
        <w:t>后续</w:t>
      </w:r>
      <w:r>
        <w:rPr>
          <w:rFonts w:hint="eastAsia" w:ascii="仿宋" w:hAnsi="仿宋" w:eastAsia="仿宋" w:cs="仿宋"/>
          <w:sz w:val="32"/>
          <w:szCs w:val="32"/>
        </w:rPr>
        <w:t>活动</w:t>
      </w:r>
      <w:r>
        <w:rPr>
          <w:rFonts w:hint="eastAsia" w:ascii="仿宋" w:hAnsi="仿宋" w:eastAsia="仿宋" w:cs="仿宋"/>
          <w:sz w:val="32"/>
          <w:szCs w:val="32"/>
          <w:lang w:eastAsia="zh-CN"/>
        </w:rPr>
        <w:t>的</w:t>
      </w:r>
      <w:r>
        <w:rPr>
          <w:rFonts w:hint="eastAsia" w:ascii="仿宋" w:hAnsi="仿宋" w:eastAsia="仿宋" w:cs="仿宋"/>
          <w:sz w:val="32"/>
          <w:szCs w:val="32"/>
        </w:rPr>
        <w:t>顺利开展。</w:t>
      </w:r>
    </w:p>
    <w:p>
      <w:pPr>
        <w:spacing w:line="560" w:lineRule="exact"/>
        <w:ind w:firstLine="420"/>
        <w:outlineLvl w:val="1"/>
        <w:rPr>
          <w:rFonts w:ascii="楷体" w:hAnsi="楷体" w:eastAsia="楷体" w:cs="楷体"/>
          <w:b/>
          <w:bCs/>
          <w:sz w:val="32"/>
          <w:szCs w:val="32"/>
        </w:rPr>
      </w:pPr>
      <w:r>
        <w:rPr>
          <w:rFonts w:hint="eastAsia" w:ascii="楷体" w:hAnsi="楷体" w:eastAsia="楷体" w:cs="楷体"/>
          <w:b/>
          <w:bCs/>
          <w:sz w:val="32"/>
          <w:szCs w:val="32"/>
        </w:rPr>
        <w:t>（二）具体实施阶段</w:t>
      </w:r>
    </w:p>
    <w:p>
      <w:pPr>
        <w:autoSpaceDE w:val="0"/>
        <w:autoSpaceDN w:val="0"/>
        <w:adjustRightInd w:val="0"/>
        <w:spacing w:line="560" w:lineRule="exact"/>
        <w:ind w:firstLine="643" w:firstLineChars="200"/>
        <w:outlineLvl w:val="2"/>
        <w:rPr>
          <w:rFonts w:cs="Times New Roman" w:asciiTheme="minorEastAsia" w:hAnsiTheme="minorEastAsia" w:eastAsiaTheme="minorEastAsia"/>
          <w:b/>
          <w:bCs/>
          <w:sz w:val="24"/>
          <w:szCs w:val="24"/>
        </w:rPr>
      </w:pPr>
      <w:r>
        <w:rPr>
          <w:rFonts w:hint="eastAsia" w:ascii="仿宋" w:hAnsi="仿宋" w:eastAsia="仿宋" w:cs="仿宋"/>
          <w:b/>
          <w:bCs/>
          <w:sz w:val="32"/>
          <w:szCs w:val="32"/>
        </w:rPr>
        <w:t>1.学院选拔</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（1）各学院（部）</w:t>
      </w: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读书领航”活动人员选拔标准（附件1）自行选拔</w:t>
      </w:r>
      <w:r>
        <w:rPr>
          <w:rFonts w:hint="eastAsia" w:ascii="仿宋" w:hAnsi="仿宋" w:eastAsia="仿宋" w:cs="仿宋"/>
          <w:sz w:val="32"/>
          <w:szCs w:val="32"/>
        </w:rPr>
        <w:t>推选2名学生作为“领航者”</w:t>
      </w:r>
      <w:r>
        <w:rPr>
          <w:rFonts w:hint="eastAsia" w:ascii="仿宋" w:hAnsi="仿宋" w:eastAsia="仿宋" w:cs="仿宋"/>
          <w:sz w:val="32"/>
          <w:szCs w:val="32"/>
          <w:lang w:eastAsia="zh-CN"/>
        </w:rPr>
        <w:t>候选人</w:t>
      </w:r>
      <w:r>
        <w:rPr>
          <w:rFonts w:hint="eastAsia" w:ascii="仿宋" w:hAnsi="仿宋" w:eastAsia="仿宋" w:cs="仿宋"/>
          <w:sz w:val="32"/>
          <w:szCs w:val="32"/>
        </w:rPr>
        <w:t>。</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各学院（部）</w:t>
      </w:r>
      <w:r>
        <w:rPr>
          <w:rFonts w:hint="eastAsia" w:ascii="仿宋" w:hAnsi="仿宋" w:eastAsia="仿宋" w:cs="仿宋"/>
          <w:sz w:val="32"/>
          <w:szCs w:val="32"/>
        </w:rPr>
        <w:t>“领航者”</w:t>
      </w:r>
      <w:r>
        <w:rPr>
          <w:rFonts w:hint="eastAsia" w:ascii="仿宋" w:hAnsi="仿宋" w:eastAsia="仿宋" w:cs="仿宋"/>
          <w:sz w:val="32"/>
          <w:szCs w:val="32"/>
          <w:lang w:eastAsia="zh-CN"/>
        </w:rPr>
        <w:t>候选人</w:t>
      </w:r>
      <w:r>
        <w:rPr>
          <w:rFonts w:hint="eastAsia" w:ascii="仿宋" w:hAnsi="仿宋" w:eastAsia="仿宋" w:cs="仿宋"/>
          <w:sz w:val="32"/>
          <w:szCs w:val="32"/>
          <w:lang w:val="en-US" w:eastAsia="zh-CN"/>
        </w:rPr>
        <w:t>填写</w:t>
      </w:r>
      <w:r>
        <w:rPr>
          <w:rFonts w:hint="eastAsia" w:ascii="仿宋" w:hAnsi="仿宋" w:eastAsia="仿宋" w:cs="仿宋"/>
          <w:sz w:val="32"/>
          <w:szCs w:val="32"/>
        </w:rPr>
        <w:t>活动报名表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附件2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报名表一式两份</w:t>
      </w:r>
      <w:r>
        <w:rPr>
          <w:rFonts w:hint="eastAsia" w:ascii="仿宋" w:hAnsi="仿宋" w:eastAsia="仿宋" w:cs="仿宋"/>
          <w:sz w:val="32"/>
          <w:szCs w:val="32"/>
        </w:rPr>
        <w:t>，纸质版加盖学院（部）公章，</w:t>
      </w:r>
      <w:r>
        <w:rPr>
          <w:rFonts w:hint="eastAsia" w:ascii="仿宋" w:hAnsi="仿宋" w:eastAsia="仿宋" w:cs="仿宋"/>
          <w:sz w:val="32"/>
          <w:szCs w:val="32"/>
          <w:lang w:val="en-US" w:eastAsia="zh-CN"/>
        </w:rPr>
        <w:t>于11月20日</w:t>
      </w:r>
      <w:r>
        <w:rPr>
          <w:rFonts w:hint="eastAsia" w:ascii="仿宋" w:hAnsi="仿宋" w:eastAsia="仿宋" w:cs="仿宋"/>
          <w:sz w:val="32"/>
          <w:szCs w:val="32"/>
        </w:rPr>
        <w:t>递送至政治与公共管理学院团委</w:t>
      </w:r>
      <w:r>
        <w:rPr>
          <w:rFonts w:hint="eastAsia" w:ascii="仿宋" w:hAnsi="仿宋" w:eastAsia="仿宋" w:cs="仿宋"/>
          <w:sz w:val="32"/>
          <w:szCs w:val="32"/>
          <w:lang w:val="en-US" w:eastAsia="zh-CN"/>
        </w:rPr>
        <w:t>会议</w:t>
      </w:r>
      <w:r>
        <w:rPr>
          <w:rFonts w:hint="eastAsia" w:ascii="仿宋" w:hAnsi="仿宋" w:eastAsia="仿宋" w:cs="仿宋"/>
          <w:sz w:val="32"/>
          <w:szCs w:val="32"/>
        </w:rPr>
        <w:t>室（东校区崇德楼120），电子版发送至邮箱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zhengguanyuan2011@163.com</w:t>
      </w:r>
      <w:r>
        <w:rPr>
          <w:rFonts w:hint="eastAsia" w:ascii="仿宋" w:hAnsi="仿宋" w:eastAsia="仿宋" w:cs="仿宋"/>
          <w:sz w:val="32"/>
          <w:szCs w:val="32"/>
        </w:rPr>
        <w:t>，邮件命名格式</w:t>
      </w:r>
      <w:r>
        <w:rPr>
          <w:rFonts w:hint="eastAsia" w:ascii="仿宋" w:hAnsi="仿宋" w:eastAsia="仿宋" w:cs="仿宋"/>
          <w:sz w:val="32"/>
          <w:szCs w:val="32"/>
          <w:lang w:val="en-US" w:eastAsia="zh-CN"/>
        </w:rPr>
        <w:t>为</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读书领航</w:t>
      </w:r>
      <w:r>
        <w:rPr>
          <w:rFonts w:hint="eastAsia" w:ascii="仿宋" w:hAnsi="仿宋" w:eastAsia="仿宋" w:cs="仿宋"/>
          <w:sz w:val="32"/>
          <w:szCs w:val="32"/>
          <w:lang w:eastAsia="zh-CN"/>
        </w:rPr>
        <w:t>’</w:t>
      </w:r>
      <w:r>
        <w:rPr>
          <w:rFonts w:hint="eastAsia" w:ascii="仿宋" w:hAnsi="仿宋" w:eastAsia="仿宋" w:cs="仿宋"/>
          <w:sz w:val="32"/>
          <w:szCs w:val="32"/>
        </w:rPr>
        <w:t>活动+学院（部）+负责人姓名</w:t>
      </w:r>
      <w:r>
        <w:rPr>
          <w:rFonts w:hint="eastAsia" w:ascii="仿宋" w:hAnsi="仿宋" w:eastAsia="仿宋" w:cs="仿宋"/>
          <w:sz w:val="32"/>
          <w:szCs w:val="32"/>
          <w:lang w:eastAsia="zh-CN"/>
        </w:rPr>
        <w:t>、</w:t>
      </w:r>
      <w:r>
        <w:rPr>
          <w:rFonts w:hint="eastAsia" w:ascii="仿宋" w:hAnsi="仿宋" w:eastAsia="仿宋" w:cs="仿宋"/>
          <w:sz w:val="32"/>
          <w:szCs w:val="32"/>
        </w:rPr>
        <w:t>联系方式</w:t>
      </w:r>
      <w:r>
        <w:rPr>
          <w:rFonts w:hint="eastAsia" w:ascii="仿宋" w:hAnsi="仿宋" w:eastAsia="仿宋" w:cs="仿宋"/>
          <w:sz w:val="32"/>
          <w:szCs w:val="32"/>
          <w:lang w:eastAsia="zh-CN"/>
        </w:rPr>
        <w:t>”</w:t>
      </w:r>
      <w:r>
        <w:rPr>
          <w:rFonts w:hint="eastAsia" w:ascii="仿宋" w:hAnsi="仿宋" w:eastAsia="仿宋" w:cs="仿宋"/>
          <w:sz w:val="32"/>
          <w:szCs w:val="32"/>
        </w:rPr>
        <w:t>。</w:t>
      </w:r>
    </w:p>
    <w:p>
      <w:pPr>
        <w:autoSpaceDE w:val="0"/>
        <w:autoSpaceDN w:val="0"/>
        <w:adjustRightInd w:val="0"/>
        <w:spacing w:line="560" w:lineRule="exact"/>
        <w:ind w:firstLine="643" w:firstLineChars="200"/>
        <w:outlineLvl w:val="2"/>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．活动</w:t>
      </w:r>
      <w:r>
        <w:rPr>
          <w:rFonts w:hint="eastAsia" w:ascii="仿宋" w:hAnsi="仿宋" w:eastAsia="仿宋" w:cs="仿宋"/>
          <w:b/>
          <w:bCs/>
          <w:color w:val="000000" w:themeColor="text1"/>
          <w:sz w:val="32"/>
          <w:szCs w:val="32"/>
          <w:lang w:val="en-US" w:eastAsia="zh-CN"/>
          <w14:textFill>
            <w14:solidFill>
              <w14:schemeClr w14:val="tx1"/>
            </w14:solidFill>
          </w14:textFill>
        </w:rPr>
        <w:t>实施</w:t>
      </w:r>
    </w:p>
    <w:p>
      <w:pPr>
        <w:pStyle w:val="9"/>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（1）团队培训：在主办单位、承办单位共同组织</w:t>
      </w:r>
      <w:r>
        <w:rPr>
          <w:rFonts w:hint="eastAsia" w:ascii="仿宋" w:hAnsi="仿宋" w:eastAsia="仿宋" w:cs="仿宋"/>
          <w:sz w:val="32"/>
          <w:szCs w:val="32"/>
        </w:rPr>
        <w:t>“领航者”</w:t>
      </w:r>
      <w:r>
        <w:rPr>
          <w:rFonts w:hint="eastAsia" w:ascii="仿宋" w:hAnsi="仿宋" w:eastAsia="仿宋" w:cs="仿宋"/>
          <w:kern w:val="2"/>
          <w:sz w:val="32"/>
          <w:szCs w:val="32"/>
          <w:lang w:val="en-US" w:eastAsia="zh-CN" w:bidi="ar-SA"/>
        </w:rPr>
        <w:t>选拔、培训之后</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SA"/>
        </w:rPr>
        <w:t>带领团队成员前往河南师范大学附属小学与新乡市张村乡裴寨社区开展活动。</w:t>
      </w:r>
    </w:p>
    <w:p>
      <w:pPr>
        <w:autoSpaceDE w:val="0"/>
        <w:autoSpaceDN w:val="0"/>
        <w:adjustRightInd w:val="0"/>
        <w:spacing w:line="560" w:lineRule="exact"/>
        <w:ind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开展方式</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pStyle w:val="9"/>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①经典留声机。团队成员选读“四大名著”中的经典章节，并在录制处理后通过河南师范大学附属小学和新乡市张村乡裴寨社区的广播站面向学校学生与社区群众开展为期15天的录音广播。</w:t>
      </w:r>
    </w:p>
    <w:p>
      <w:pPr>
        <w:pStyle w:val="9"/>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②读书百宝箱。团队成员以“为什么读书、读什么书、怎样读书”为主要内容，通过文字与漫画相结合的方式制作阅读手册，在河南师范大学附属小学与新乡市张村乡裴寨社区进行发放。</w:t>
      </w:r>
    </w:p>
    <w:p>
      <w:pPr>
        <w:pStyle w:val="9"/>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③社区大舞台。团队围绕中华优秀传统文化与爱国主义精神，以歌舞、评书、相声、朗诵、舞台剧等形式在河南师范大学附属小学与新乡市张村乡裴寨社区进行文艺汇演。</w:t>
      </w:r>
    </w:p>
    <w:p>
      <w:pPr>
        <w:pStyle w:val="9"/>
        <w:spacing w:line="560" w:lineRule="exact"/>
        <w:ind w:firstLine="64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④科学智慧树。团队成员前往河南师范大学附属小学与新乡市张村乡裴寨社区明德小学进行趣味科学实验，在激发学生兴趣的基础上为其讲解实验背后的故事。</w:t>
      </w:r>
    </w:p>
    <w:p>
      <w:pPr>
        <w:pStyle w:val="9"/>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⑤亲子调色板。团队成员提前准备好与四大名著相关人物的简笔画，并将其分发给河南师范大学附属小学、新乡市张村乡裴寨社区的学生与家长。活动以亲子合作上色的形式进行，之后团队成员会对相关人物和故事进行讲解。</w:t>
      </w:r>
    </w:p>
    <w:p>
      <w:pPr>
        <w:pStyle w:val="9"/>
        <w:spacing w:line="560" w:lineRule="exact"/>
        <w:ind w:firstLine="64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⑥红色微课堂。微课堂以抗美援朝战争胜利70周年为主题，面向河南师范大学附属小学与新乡市张村乡裴寨社区展开，通过红色分享会、“英雄故事”进课堂、领唱经典红歌等形式，引导学生与社区群众在感悟革命先辈崇高的精神中回望初心，砥砺奋进。</w:t>
      </w:r>
    </w:p>
    <w:p>
      <w:pPr>
        <w:pStyle w:val="8"/>
        <w:spacing w:line="560" w:lineRule="exact"/>
        <w:ind w:firstLineChars="0"/>
        <w:outlineLvl w:val="1"/>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（三）宣传总结</w:t>
      </w:r>
      <w:r>
        <w:rPr>
          <w:rFonts w:hint="eastAsia" w:ascii="楷体" w:hAnsi="楷体" w:eastAsia="楷体" w:cs="楷体"/>
          <w:b/>
          <w:bCs/>
          <w:color w:val="000000" w:themeColor="text1"/>
          <w:sz w:val="32"/>
          <w:szCs w:val="32"/>
          <w:lang w:val="en-US" w:eastAsia="zh-CN"/>
          <w14:textFill>
            <w14:solidFill>
              <w14:schemeClr w14:val="tx1"/>
            </w14:solidFill>
          </w14:textFill>
        </w:rPr>
        <w:t>阶段</w:t>
      </w:r>
    </w:p>
    <w:p>
      <w:pPr>
        <w:pStyle w:val="9"/>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充分发挥传统媒体和网络新媒体互为补充的优势，坚持线上、线下相结合的原则，针对活动中的好做法、好经验及时总结提炼，广泛宣传，提高活动影响力。</w:t>
      </w:r>
    </w:p>
    <w:p>
      <w:pPr>
        <w:numPr>
          <w:ilvl w:val="0"/>
          <w:numId w:val="0"/>
        </w:num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六、附件</w:t>
      </w:r>
    </w:p>
    <w:p>
      <w:pPr>
        <w:pStyle w:val="9"/>
        <w:spacing w:line="560" w:lineRule="exact"/>
        <w:ind w:left="0" w:leftChars="0" w:firstLine="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附件1：河南师范大学第五届“阅享经典，书香师大”之“读书领航”活动人员选拔标准</w:t>
      </w:r>
    </w:p>
    <w:p>
      <w:pPr>
        <w:pStyle w:val="9"/>
        <w:spacing w:line="560" w:lineRule="exact"/>
        <w:ind w:left="0" w:leftChars="0" w:firstLine="0" w:firstLineChars="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kern w:val="2"/>
          <w:sz w:val="32"/>
          <w:szCs w:val="32"/>
          <w:lang w:val="en-US" w:eastAsia="zh-CN" w:bidi="ar-SA"/>
        </w:rPr>
        <w:t>附件2：河南师范大学第五届“阅享经典，书香师大”之“读书领航”活动报名表</w:t>
      </w:r>
      <w:r>
        <w:rPr>
          <w:rFonts w:hint="eastAsia" w:ascii="仿宋" w:hAnsi="仿宋" w:eastAsia="仿宋" w:cs="仿宋"/>
          <w:kern w:val="2"/>
          <w:sz w:val="32"/>
          <w:szCs w:val="32"/>
          <w:lang w:val="en-US" w:eastAsia="zh-CN" w:bidi="ar-SA"/>
        </w:rPr>
        <w:br w:type="page"/>
      </w:r>
      <w:r>
        <w:rPr>
          <w:rFonts w:hint="eastAsia" w:ascii="仿宋" w:hAnsi="仿宋" w:eastAsia="仿宋" w:cs="仿宋"/>
          <w:b/>
          <w:bCs/>
          <w:color w:val="000000" w:themeColor="text1"/>
          <w:sz w:val="32"/>
          <w:szCs w:val="32"/>
          <w:lang w:val="en-US" w:eastAsia="zh-CN"/>
          <w14:textFill>
            <w14:solidFill>
              <w14:schemeClr w14:val="tx1"/>
            </w14:solidFill>
          </w14:textFill>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36"/>
          <w:szCs w:val="36"/>
          <w:shd w:val="clear" w:color="auto" w:fill="FFFFFF"/>
        </w:rPr>
      </w:pPr>
      <w:r>
        <w:rPr>
          <w:rFonts w:hint="eastAsia" w:ascii="黑体" w:hAnsi="黑体" w:eastAsia="黑体" w:cs="黑体"/>
          <w:b w:val="0"/>
          <w:bCs w:val="0"/>
          <w:color w:val="auto"/>
          <w:sz w:val="36"/>
          <w:szCs w:val="36"/>
          <w:shd w:val="clear" w:color="auto" w:fill="FFFFFF"/>
        </w:rPr>
        <w:t>河南师范大学</w:t>
      </w:r>
      <w:r>
        <w:rPr>
          <w:rFonts w:hint="eastAsia" w:ascii="黑体" w:hAnsi="黑体" w:eastAsia="黑体" w:cs="黑体"/>
          <w:b w:val="0"/>
          <w:bCs w:val="0"/>
          <w:color w:val="auto"/>
          <w:sz w:val="36"/>
          <w:szCs w:val="36"/>
          <w:shd w:val="clear" w:color="auto" w:fill="FFFFFF"/>
          <w:lang w:val="en-US" w:eastAsia="zh-CN"/>
        </w:rPr>
        <w:t>第五届</w:t>
      </w:r>
      <w:r>
        <w:rPr>
          <w:rFonts w:hint="eastAsia" w:ascii="黑体" w:hAnsi="黑体" w:eastAsia="黑体" w:cs="黑体"/>
          <w:b w:val="0"/>
          <w:bCs w:val="0"/>
          <w:color w:val="auto"/>
          <w:sz w:val="36"/>
          <w:szCs w:val="36"/>
          <w:shd w:val="clear" w:color="auto" w:fill="FFFFFF"/>
        </w:rPr>
        <w:t>“</w:t>
      </w:r>
      <w:r>
        <w:rPr>
          <w:rFonts w:hint="eastAsia" w:ascii="黑体" w:hAnsi="黑体" w:eastAsia="黑体" w:cs="黑体"/>
          <w:b w:val="0"/>
          <w:bCs w:val="0"/>
          <w:color w:val="auto"/>
          <w:sz w:val="36"/>
          <w:szCs w:val="36"/>
          <w:shd w:val="clear" w:color="auto" w:fill="FFFFFF"/>
          <w:lang w:val="en-US" w:eastAsia="zh-CN"/>
        </w:rPr>
        <w:t>阅享经典，书香师大</w:t>
      </w:r>
      <w:r>
        <w:rPr>
          <w:rFonts w:hint="eastAsia" w:ascii="黑体" w:hAnsi="黑体" w:eastAsia="黑体" w:cs="黑体"/>
          <w:b w:val="0"/>
          <w:bCs w:val="0"/>
          <w:color w:val="auto"/>
          <w:sz w:val="36"/>
          <w:szCs w:val="36"/>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36"/>
          <w:szCs w:val="36"/>
          <w:lang w:val="en-US"/>
        </w:rPr>
      </w:pPr>
      <w:r>
        <w:rPr>
          <w:rFonts w:hint="eastAsia" w:ascii="黑体" w:hAnsi="黑体" w:eastAsia="黑体" w:cs="黑体"/>
          <w:b w:val="0"/>
          <w:bCs w:val="0"/>
          <w:color w:val="auto"/>
          <w:sz w:val="36"/>
          <w:szCs w:val="36"/>
          <w:shd w:val="clear" w:color="auto" w:fill="FFFFFF"/>
          <w:lang w:val="en-US" w:eastAsia="zh-CN"/>
        </w:rPr>
        <w:t>之</w:t>
      </w:r>
      <w:r>
        <w:rPr>
          <w:rFonts w:hint="eastAsia" w:ascii="黑体" w:hAnsi="黑体" w:eastAsia="黑体" w:cs="黑体"/>
          <w:b w:val="0"/>
          <w:bCs w:val="0"/>
          <w:color w:val="auto"/>
          <w:sz w:val="36"/>
          <w:szCs w:val="36"/>
          <w:shd w:val="clear" w:color="auto" w:fill="FFFFFF"/>
        </w:rPr>
        <w:t>“读书领航”</w:t>
      </w:r>
      <w:r>
        <w:rPr>
          <w:rFonts w:hint="eastAsia" w:ascii="黑体" w:hAnsi="黑体" w:eastAsia="黑体" w:cs="黑体"/>
          <w:b w:val="0"/>
          <w:bCs w:val="0"/>
          <w:color w:val="auto"/>
          <w:sz w:val="36"/>
          <w:szCs w:val="36"/>
          <w:shd w:val="clear" w:color="auto" w:fill="FFFFFF"/>
          <w:lang w:val="en-US" w:eastAsia="zh-CN"/>
        </w:rPr>
        <w:t>活动人员选拔标准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olor w:val="auto"/>
          <w:sz w:val="32"/>
          <w:szCs w:val="32"/>
          <w:shd w:val="clear" w:color="auto" w:fill="FFFFFF"/>
          <w:lang w:val="en-US" w:eastAsia="zh-CN"/>
        </w:rPr>
      </w:pPr>
      <w:r>
        <w:rPr>
          <w:rFonts w:hint="eastAsia" w:ascii="仿宋" w:hAnsi="仿宋" w:eastAsia="仿宋"/>
          <w:color w:val="auto"/>
          <w:sz w:val="32"/>
          <w:szCs w:val="32"/>
          <w:shd w:val="clear" w:color="auto" w:fill="FFFFFF"/>
          <w:lang w:val="en-US" w:eastAsia="zh-CN"/>
        </w:rPr>
        <w:t>为顺利开展“读书领航”活动，各学院（部）在进行“领航者”选拔时应坚持以下标准：</w:t>
      </w:r>
    </w:p>
    <w:p>
      <w:pPr>
        <w:pStyle w:val="9"/>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lang w:eastAsia="zh-CN"/>
        </w:rPr>
        <w:t>一、</w:t>
      </w:r>
      <w:r>
        <w:rPr>
          <w:rFonts w:hint="eastAsia" w:ascii="仿宋" w:hAnsi="仿宋" w:eastAsia="仿宋"/>
          <w:color w:val="auto"/>
          <w:sz w:val="32"/>
          <w:szCs w:val="32"/>
          <w:shd w:val="clear" w:color="auto" w:fill="FFFFFF"/>
        </w:rPr>
        <w:t>坚定的政治立场。具有坚定的共产主义理想信念和较高的思想政治觉悟，坚持党的基本路线、方针、政策，作风正派，谦虚谨慎，以身作则，做好表率。</w:t>
      </w:r>
    </w:p>
    <w:p>
      <w:pPr>
        <w:pStyle w:val="9"/>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olor w:val="auto"/>
          <w:sz w:val="32"/>
          <w:szCs w:val="32"/>
          <w:shd w:val="clear" w:color="auto" w:fill="FFFFFF"/>
          <w:lang w:eastAsia="zh-CN"/>
        </w:rPr>
      </w:pPr>
      <w:r>
        <w:rPr>
          <w:rFonts w:hint="eastAsia" w:ascii="仿宋" w:hAnsi="仿宋" w:eastAsia="仿宋"/>
          <w:color w:val="auto"/>
          <w:sz w:val="32"/>
          <w:szCs w:val="32"/>
          <w:shd w:val="clear" w:color="auto" w:fill="FFFFFF"/>
          <w:lang w:eastAsia="zh-CN"/>
        </w:rPr>
        <w:t>二、强烈的社会担当。自觉把使命放在心上、把责任扛在肩上，勤于学习、敏于求知，注重把所学知识内化于心，外化于行，既专攻博览，又心怀家国，在勇于直面矛盾的基础上，善于解决问题，积极创造实绩。</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lang w:eastAsia="zh-CN"/>
        </w:rPr>
        <w:t>三、</w:t>
      </w:r>
      <w:r>
        <w:rPr>
          <w:rFonts w:hint="eastAsia" w:ascii="仿宋" w:hAnsi="仿宋" w:eastAsia="仿宋"/>
          <w:color w:val="auto"/>
          <w:sz w:val="32"/>
          <w:szCs w:val="32"/>
          <w:shd w:val="clear" w:color="auto" w:fill="FFFFFF"/>
        </w:rPr>
        <w:t>扎实的理论功底。对马克思列宁主义、毛泽东思想、邓小平理论、“三个代表”重要思想、科学发展观、习近平新时代特色社会主义思想有深刻的理解与认识，坚持理论联系实际，务实求真，知行合一。</w:t>
      </w:r>
    </w:p>
    <w:p>
      <w:pPr>
        <w:ind w:firstLine="640" w:firstLineChars="200"/>
        <w:rPr>
          <w:rFonts w:hint="eastAsia" w:ascii="仿宋" w:hAnsi="仿宋" w:eastAsia="仿宋"/>
          <w:color w:val="333333"/>
          <w:sz w:val="32"/>
          <w:szCs w:val="32"/>
          <w:shd w:val="clear" w:color="auto" w:fill="FFFFFF"/>
        </w:rPr>
      </w:pPr>
      <w:r>
        <w:rPr>
          <w:rFonts w:hint="eastAsia" w:ascii="仿宋" w:hAnsi="仿宋" w:eastAsia="仿宋"/>
          <w:color w:val="auto"/>
          <w:sz w:val="32"/>
          <w:szCs w:val="32"/>
          <w:shd w:val="clear" w:color="auto" w:fill="FFFFFF"/>
          <w:lang w:eastAsia="zh-CN"/>
        </w:rPr>
        <w:t>四、</w:t>
      </w:r>
      <w:r>
        <w:rPr>
          <w:rFonts w:hint="eastAsia" w:ascii="仿宋" w:hAnsi="仿宋" w:eastAsia="仿宋"/>
          <w:color w:val="auto"/>
          <w:sz w:val="32"/>
          <w:szCs w:val="32"/>
          <w:shd w:val="clear" w:color="auto" w:fill="FFFFFF"/>
        </w:rPr>
        <w:t>过硬的工作能力。</w:t>
      </w:r>
      <w:r>
        <w:rPr>
          <w:rFonts w:hint="eastAsia" w:ascii="仿宋" w:hAnsi="仿宋" w:eastAsia="仿宋"/>
          <w:color w:val="333333"/>
          <w:sz w:val="32"/>
          <w:szCs w:val="32"/>
          <w:shd w:val="clear" w:color="auto" w:fill="FFFFFF"/>
        </w:rPr>
        <w:t>做到开口能讲，提笔能写，问策能对，遇事能办，发扬团结协作精神，树立顾全大局意识。同时</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具有良好的</w:t>
      </w:r>
      <w:r>
        <w:rPr>
          <w:rFonts w:hint="eastAsia" w:ascii="仿宋" w:hAnsi="仿宋" w:eastAsia="仿宋"/>
          <w:color w:val="333333"/>
          <w:sz w:val="32"/>
          <w:szCs w:val="32"/>
          <w:shd w:val="clear" w:color="auto" w:fill="FFFFFF"/>
          <w:lang w:eastAsia="zh-CN"/>
        </w:rPr>
        <w:t>课堂表现、</w:t>
      </w:r>
      <w:r>
        <w:rPr>
          <w:rFonts w:hint="eastAsia" w:ascii="仿宋" w:hAnsi="仿宋" w:eastAsia="仿宋"/>
          <w:color w:val="333333"/>
          <w:sz w:val="32"/>
          <w:szCs w:val="32"/>
          <w:shd w:val="clear" w:color="auto" w:fill="FFFFFF"/>
        </w:rPr>
        <w:t>沟通交流</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逻辑思维</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组织管理</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随机应变</w:t>
      </w:r>
      <w:r>
        <w:rPr>
          <w:rFonts w:hint="eastAsia" w:ascii="仿宋" w:hAnsi="仿宋" w:eastAsia="仿宋"/>
          <w:color w:val="333333"/>
          <w:sz w:val="32"/>
          <w:szCs w:val="32"/>
          <w:shd w:val="clear" w:color="auto" w:fill="FFFFFF"/>
          <w:lang w:eastAsia="zh-CN"/>
        </w:rPr>
        <w:t>等</w:t>
      </w:r>
      <w:r>
        <w:rPr>
          <w:rFonts w:hint="eastAsia" w:ascii="仿宋" w:hAnsi="仿宋" w:eastAsia="仿宋"/>
          <w:color w:val="333333"/>
          <w:sz w:val="32"/>
          <w:szCs w:val="32"/>
          <w:shd w:val="clear" w:color="auto" w:fill="FFFFFF"/>
        </w:rPr>
        <w:t>能力，</w:t>
      </w:r>
      <w:r>
        <w:rPr>
          <w:rFonts w:hint="eastAsia" w:ascii="仿宋" w:hAnsi="仿宋" w:eastAsia="仿宋"/>
          <w:color w:val="333333"/>
          <w:sz w:val="32"/>
          <w:szCs w:val="32"/>
          <w:shd w:val="clear" w:color="auto" w:fill="FFFFFF"/>
          <w:lang w:eastAsia="zh-CN"/>
        </w:rPr>
        <w:t>并</w:t>
      </w:r>
      <w:r>
        <w:rPr>
          <w:rFonts w:hint="eastAsia" w:ascii="仿宋" w:hAnsi="仿宋" w:eastAsia="仿宋"/>
          <w:color w:val="333333"/>
          <w:sz w:val="32"/>
          <w:szCs w:val="32"/>
          <w:shd w:val="clear" w:color="auto" w:fill="FFFFFF"/>
        </w:rPr>
        <w:t>能熟练运用现代信息教育技术辅助活动开展。</w:t>
      </w:r>
    </w:p>
    <w:p>
      <w:pPr>
        <w:rPr>
          <w:rFonts w:hint="eastAsia" w:ascii="仿宋" w:hAnsi="仿宋" w:eastAsia="仿宋"/>
          <w:color w:val="333333"/>
          <w:sz w:val="32"/>
          <w:szCs w:val="32"/>
          <w:shd w:val="clear" w:color="auto" w:fill="FFFFFF"/>
        </w:rPr>
      </w:pPr>
    </w:p>
    <w:p>
      <w:pPr>
        <w:jc w:val="left"/>
        <w:rPr>
          <w:rFonts w:ascii="仿宋_GB2312" w:hAnsi="仿宋_GB2312" w:eastAsia="仿宋_GB2312"/>
          <w:sz w:val="28"/>
        </w:rPr>
      </w:pPr>
      <w:r>
        <w:rPr>
          <w:rFonts w:ascii="仿宋" w:hAnsi="仿宋" w:eastAsia="仿宋"/>
          <w:b/>
          <w:bCs/>
          <w:color w:val="333333"/>
          <w:sz w:val="32"/>
          <w:szCs w:val="32"/>
          <w:shd w:val="clear" w:color="auto" w:fill="FFFFFF"/>
        </w:rPr>
        <w:t>附件</w:t>
      </w:r>
      <w:r>
        <w:rPr>
          <w:rFonts w:hint="eastAsia" w:ascii="仿宋" w:hAnsi="仿宋" w:eastAsia="仿宋"/>
          <w:b/>
          <w:bCs/>
          <w:color w:val="333333"/>
          <w:sz w:val="32"/>
          <w:szCs w:val="32"/>
          <w:shd w:val="clear" w:color="auto" w:fill="FFFFFF"/>
          <w:lang w:val="en-US" w:eastAsia="zh-CN"/>
        </w:rPr>
        <w:t>2</w:t>
      </w:r>
      <w:r>
        <w:rPr>
          <w:rFonts w:hint="eastAsia" w:ascii="仿宋" w:hAnsi="仿宋" w:eastAsia="仿宋"/>
          <w:b/>
          <w:bCs/>
          <w:color w:val="333333"/>
          <w:sz w:val="32"/>
          <w:szCs w:val="32"/>
          <w:shd w:val="clear" w:color="auto" w:fill="FFFFFF"/>
        </w:rPr>
        <w:t>：</w:t>
      </w:r>
    </w:p>
    <w:p>
      <w:pPr>
        <w:jc w:val="center"/>
        <w:rPr>
          <w:rFonts w:hint="eastAsia" w:ascii="黑体" w:hAnsi="黑体" w:eastAsia="黑体"/>
          <w:sz w:val="36"/>
          <w:szCs w:val="36"/>
        </w:rPr>
      </w:pPr>
      <w:r>
        <w:rPr>
          <w:rFonts w:hint="eastAsia" w:ascii="黑体" w:hAnsi="黑体" w:eastAsia="黑体"/>
          <w:sz w:val="36"/>
          <w:szCs w:val="36"/>
        </w:rPr>
        <w:t>河南师范大学</w:t>
      </w:r>
      <w:r>
        <w:rPr>
          <w:rFonts w:hint="eastAsia" w:ascii="黑体" w:hAnsi="黑体" w:eastAsia="黑体"/>
          <w:sz w:val="36"/>
          <w:szCs w:val="36"/>
          <w:lang w:val="en-US" w:eastAsia="zh-CN"/>
        </w:rPr>
        <w:t>第五届</w:t>
      </w:r>
      <w:r>
        <w:rPr>
          <w:rFonts w:hint="eastAsia" w:ascii="黑体" w:hAnsi="黑体" w:eastAsia="黑体"/>
          <w:sz w:val="36"/>
          <w:szCs w:val="36"/>
        </w:rPr>
        <w:t>“</w:t>
      </w:r>
      <w:r>
        <w:rPr>
          <w:rFonts w:hint="eastAsia" w:ascii="黑体" w:hAnsi="黑体" w:eastAsia="黑体"/>
          <w:sz w:val="36"/>
          <w:szCs w:val="36"/>
          <w:lang w:val="en-US" w:eastAsia="zh-CN"/>
        </w:rPr>
        <w:t>阅享经典，书香师大</w:t>
      </w:r>
      <w:r>
        <w:rPr>
          <w:rFonts w:hint="eastAsia" w:ascii="黑体" w:hAnsi="黑体" w:eastAsia="黑体"/>
          <w:sz w:val="36"/>
          <w:szCs w:val="36"/>
        </w:rPr>
        <w:t>”</w:t>
      </w:r>
    </w:p>
    <w:p>
      <w:pPr>
        <w:jc w:val="center"/>
      </w:pPr>
      <w:r>
        <w:rPr>
          <w:rFonts w:hint="eastAsia" w:ascii="黑体" w:hAnsi="黑体" w:eastAsia="黑体"/>
          <w:sz w:val="36"/>
          <w:szCs w:val="36"/>
          <w:lang w:val="en-US" w:eastAsia="zh-CN"/>
        </w:rPr>
        <w:t>之</w:t>
      </w:r>
      <w:r>
        <w:rPr>
          <w:rFonts w:hint="eastAsia" w:ascii="黑体" w:hAnsi="黑体" w:eastAsia="黑体"/>
          <w:sz w:val="36"/>
          <w:szCs w:val="36"/>
        </w:rPr>
        <w:t>“读书领航”活动报名表</w:t>
      </w:r>
    </w:p>
    <w:tbl>
      <w:tblPr>
        <w:tblStyle w:val="4"/>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172"/>
        <w:gridCol w:w="839"/>
        <w:gridCol w:w="460"/>
        <w:gridCol w:w="1012"/>
        <w:gridCol w:w="1133"/>
        <w:gridCol w:w="1052"/>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68" w:type="dxa"/>
            <w:vAlign w:val="center"/>
          </w:tcPr>
          <w:p>
            <w:pPr>
              <w:ind w:left="-357" w:leftChars="-170"/>
              <w:jc w:val="center"/>
              <w:rPr>
                <w:rFonts w:ascii="黑体" w:hAnsi="黑体" w:eastAsia="黑体" w:cs="黑体"/>
                <w:sz w:val="24"/>
              </w:rPr>
            </w:pPr>
            <w:r>
              <w:rPr>
                <w:rFonts w:hint="eastAsia" w:ascii="黑体" w:hAnsi="黑体" w:eastAsia="黑体" w:cs="黑体"/>
                <w:sz w:val="24"/>
              </w:rPr>
              <w:t xml:space="preserve">   姓    名</w:t>
            </w:r>
          </w:p>
        </w:tc>
        <w:tc>
          <w:tcPr>
            <w:tcW w:w="1172" w:type="dxa"/>
            <w:vAlign w:val="center"/>
          </w:tcPr>
          <w:p>
            <w:pPr>
              <w:jc w:val="center"/>
              <w:rPr>
                <w:rFonts w:ascii="黑体" w:hAnsi="黑体" w:eastAsia="黑体" w:cs="黑体"/>
                <w:sz w:val="24"/>
              </w:rPr>
            </w:pPr>
          </w:p>
        </w:tc>
        <w:tc>
          <w:tcPr>
            <w:tcW w:w="1299" w:type="dxa"/>
            <w:gridSpan w:val="2"/>
            <w:vAlign w:val="center"/>
          </w:tcPr>
          <w:p>
            <w:pPr>
              <w:jc w:val="center"/>
              <w:rPr>
                <w:rFonts w:ascii="黑体" w:hAnsi="黑体" w:eastAsia="黑体" w:cs="黑体"/>
                <w:sz w:val="24"/>
              </w:rPr>
            </w:pPr>
            <w:r>
              <w:rPr>
                <w:rFonts w:hint="eastAsia" w:ascii="黑体" w:hAnsi="黑体" w:eastAsia="黑体" w:cs="黑体"/>
                <w:sz w:val="24"/>
              </w:rPr>
              <w:t>性    别</w:t>
            </w:r>
          </w:p>
        </w:tc>
        <w:tc>
          <w:tcPr>
            <w:tcW w:w="1012" w:type="dxa"/>
            <w:vAlign w:val="center"/>
          </w:tcPr>
          <w:p>
            <w:pPr>
              <w:jc w:val="center"/>
              <w:rPr>
                <w:rFonts w:ascii="黑体" w:hAnsi="黑体" w:eastAsia="黑体" w:cs="黑体"/>
                <w:sz w:val="24"/>
              </w:rPr>
            </w:pPr>
          </w:p>
        </w:tc>
        <w:tc>
          <w:tcPr>
            <w:tcW w:w="1133" w:type="dxa"/>
            <w:vAlign w:val="center"/>
          </w:tcPr>
          <w:p>
            <w:pPr>
              <w:jc w:val="center"/>
              <w:rPr>
                <w:rFonts w:ascii="黑体" w:hAnsi="黑体" w:eastAsia="黑体" w:cs="黑体"/>
                <w:sz w:val="24"/>
              </w:rPr>
            </w:pPr>
            <w:r>
              <w:rPr>
                <w:rFonts w:hint="eastAsia" w:ascii="黑体" w:hAnsi="黑体" w:eastAsia="黑体" w:cs="黑体"/>
                <w:sz w:val="24"/>
              </w:rPr>
              <w:t>籍　 贯</w:t>
            </w:r>
          </w:p>
        </w:tc>
        <w:tc>
          <w:tcPr>
            <w:tcW w:w="1052" w:type="dxa"/>
            <w:vAlign w:val="center"/>
          </w:tcPr>
          <w:p>
            <w:pPr>
              <w:rPr>
                <w:rFonts w:ascii="黑体" w:hAnsi="黑体" w:eastAsia="黑体" w:cs="黑体"/>
                <w:sz w:val="24"/>
              </w:rPr>
            </w:pPr>
          </w:p>
        </w:tc>
        <w:tc>
          <w:tcPr>
            <w:tcW w:w="1926" w:type="dxa"/>
            <w:vMerge w:val="restart"/>
            <w:vAlign w:val="center"/>
          </w:tcPr>
          <w:p>
            <w:pPr>
              <w:jc w:val="center"/>
              <w:rPr>
                <w:rFonts w:ascii="黑体" w:hAnsi="黑体" w:eastAsia="黑体" w:cs="黑体"/>
                <w:sz w:val="24"/>
              </w:rPr>
            </w:pPr>
            <w:r>
              <w:rPr>
                <w:rFonts w:hint="eastAsia" w:ascii="黑体" w:hAnsi="黑体" w:eastAsia="黑体" w:cs="黑体"/>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68" w:type="dxa"/>
            <w:vAlign w:val="center"/>
          </w:tcPr>
          <w:p>
            <w:pPr>
              <w:jc w:val="center"/>
              <w:rPr>
                <w:rFonts w:ascii="黑体" w:hAnsi="黑体" w:eastAsia="黑体" w:cs="黑体"/>
                <w:sz w:val="24"/>
              </w:rPr>
            </w:pPr>
            <w:r>
              <w:rPr>
                <w:rFonts w:hint="eastAsia" w:ascii="黑体" w:hAnsi="黑体" w:eastAsia="黑体" w:cs="黑体"/>
                <w:sz w:val="24"/>
              </w:rPr>
              <w:t>政治面貌</w:t>
            </w:r>
          </w:p>
        </w:tc>
        <w:tc>
          <w:tcPr>
            <w:tcW w:w="1172" w:type="dxa"/>
            <w:vAlign w:val="center"/>
          </w:tcPr>
          <w:p>
            <w:pPr>
              <w:jc w:val="center"/>
              <w:rPr>
                <w:rFonts w:ascii="黑体" w:hAnsi="黑体" w:eastAsia="黑体" w:cs="黑体"/>
                <w:sz w:val="24"/>
              </w:rPr>
            </w:pPr>
          </w:p>
        </w:tc>
        <w:tc>
          <w:tcPr>
            <w:tcW w:w="1299" w:type="dxa"/>
            <w:gridSpan w:val="2"/>
            <w:vAlign w:val="center"/>
          </w:tcPr>
          <w:p>
            <w:pPr>
              <w:jc w:val="center"/>
              <w:rPr>
                <w:rFonts w:ascii="黑体" w:hAnsi="黑体" w:eastAsia="黑体" w:cs="黑体"/>
                <w:sz w:val="24"/>
              </w:rPr>
            </w:pPr>
            <w:r>
              <w:rPr>
                <w:rFonts w:hint="eastAsia" w:ascii="黑体" w:hAnsi="黑体" w:eastAsia="黑体" w:cs="黑体"/>
                <w:sz w:val="24"/>
              </w:rPr>
              <w:t>民    族</w:t>
            </w:r>
          </w:p>
        </w:tc>
        <w:tc>
          <w:tcPr>
            <w:tcW w:w="1012" w:type="dxa"/>
            <w:vAlign w:val="center"/>
          </w:tcPr>
          <w:p>
            <w:pPr>
              <w:jc w:val="center"/>
              <w:rPr>
                <w:rFonts w:ascii="黑体" w:hAnsi="黑体" w:eastAsia="黑体" w:cs="黑体"/>
                <w:sz w:val="24"/>
              </w:rPr>
            </w:pPr>
          </w:p>
        </w:tc>
        <w:tc>
          <w:tcPr>
            <w:tcW w:w="1133" w:type="dxa"/>
            <w:vAlign w:val="center"/>
          </w:tcPr>
          <w:p>
            <w:pPr>
              <w:jc w:val="center"/>
              <w:rPr>
                <w:rFonts w:ascii="黑体" w:hAnsi="黑体" w:eastAsia="黑体" w:cs="黑体"/>
                <w:sz w:val="24"/>
              </w:rPr>
            </w:pPr>
            <w:r>
              <w:rPr>
                <w:rFonts w:hint="eastAsia" w:ascii="黑体" w:hAnsi="黑体" w:eastAsia="黑体" w:cs="黑体"/>
                <w:sz w:val="24"/>
              </w:rPr>
              <w:t>年   龄</w:t>
            </w:r>
          </w:p>
        </w:tc>
        <w:tc>
          <w:tcPr>
            <w:tcW w:w="1052" w:type="dxa"/>
            <w:vAlign w:val="center"/>
          </w:tcPr>
          <w:p>
            <w:pPr>
              <w:rPr>
                <w:rFonts w:ascii="黑体" w:hAnsi="黑体" w:eastAsia="黑体" w:cs="黑体"/>
                <w:sz w:val="24"/>
              </w:rPr>
            </w:pPr>
          </w:p>
        </w:tc>
        <w:tc>
          <w:tcPr>
            <w:tcW w:w="1926" w:type="dxa"/>
            <w:vMerge w:val="continue"/>
            <w:vAlign w:val="center"/>
          </w:tcPr>
          <w:p>
            <w:pP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68" w:type="dxa"/>
            <w:vAlign w:val="center"/>
          </w:tcPr>
          <w:p>
            <w:pPr>
              <w:jc w:val="center"/>
              <w:rPr>
                <w:rFonts w:ascii="黑体" w:hAnsi="黑体" w:eastAsia="黑体" w:cs="黑体"/>
                <w:sz w:val="24"/>
              </w:rPr>
            </w:pPr>
            <w:r>
              <w:rPr>
                <w:rFonts w:hint="eastAsia" w:ascii="黑体" w:hAnsi="黑体" w:eastAsia="黑体" w:cs="黑体"/>
                <w:sz w:val="24"/>
              </w:rPr>
              <w:t>联系方式</w:t>
            </w:r>
          </w:p>
        </w:tc>
        <w:tc>
          <w:tcPr>
            <w:tcW w:w="5668" w:type="dxa"/>
            <w:gridSpan w:val="6"/>
            <w:vAlign w:val="center"/>
          </w:tcPr>
          <w:p>
            <w:pPr>
              <w:rPr>
                <w:rFonts w:ascii="黑体" w:hAnsi="黑体" w:eastAsia="黑体" w:cs="黑体"/>
                <w:sz w:val="24"/>
              </w:rPr>
            </w:pPr>
          </w:p>
        </w:tc>
        <w:tc>
          <w:tcPr>
            <w:tcW w:w="1926" w:type="dxa"/>
            <w:vMerge w:val="continue"/>
            <w:vAlign w:val="center"/>
          </w:tcPr>
          <w:p>
            <w:pP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gridSpan w:val="3"/>
            <w:vAlign w:val="center"/>
          </w:tcPr>
          <w:p>
            <w:pPr>
              <w:rPr>
                <w:rFonts w:ascii="黑体" w:hAnsi="黑体" w:eastAsia="黑体" w:cs="黑体"/>
                <w:sz w:val="24"/>
              </w:rPr>
            </w:pPr>
            <w:r>
              <w:rPr>
                <w:rFonts w:hint="eastAsia" w:ascii="黑体" w:hAnsi="黑体" w:eastAsia="黑体" w:cs="黑体"/>
                <w:sz w:val="24"/>
              </w:rPr>
              <w:t>所在</w:t>
            </w:r>
            <w:r>
              <w:rPr>
                <w:rFonts w:hint="eastAsia" w:ascii="黑体" w:hAnsi="黑体" w:eastAsia="黑体" w:cs="黑体"/>
                <w:sz w:val="24"/>
                <w:lang w:val="en-US" w:eastAsia="zh-CN"/>
              </w:rPr>
              <w:t>学</w:t>
            </w:r>
            <w:r>
              <w:rPr>
                <w:rFonts w:hint="eastAsia" w:ascii="黑体" w:hAnsi="黑体" w:eastAsia="黑体" w:cs="黑体"/>
                <w:sz w:val="24"/>
              </w:rPr>
              <w:t>院（</w:t>
            </w:r>
            <w:r>
              <w:rPr>
                <w:rFonts w:hint="eastAsia" w:ascii="黑体" w:hAnsi="黑体" w:eastAsia="黑体" w:cs="黑体"/>
                <w:sz w:val="24"/>
                <w:lang w:val="en-US" w:eastAsia="zh-CN"/>
              </w:rPr>
              <w:t>部</w:t>
            </w:r>
            <w:r>
              <w:rPr>
                <w:rFonts w:hint="eastAsia" w:ascii="黑体" w:hAnsi="黑体" w:eastAsia="黑体" w:cs="黑体"/>
                <w:sz w:val="24"/>
              </w:rPr>
              <w:t>）、</w:t>
            </w:r>
            <w:r>
              <w:rPr>
                <w:rFonts w:hint="eastAsia" w:ascii="黑体" w:hAnsi="黑体" w:eastAsia="黑体" w:cs="黑体"/>
                <w:sz w:val="24"/>
                <w:lang w:val="en-US" w:eastAsia="zh-CN"/>
              </w:rPr>
              <w:t>年级、</w:t>
            </w:r>
            <w:r>
              <w:rPr>
                <w:rFonts w:hint="eastAsia" w:ascii="黑体" w:hAnsi="黑体" w:eastAsia="黑体" w:cs="黑体"/>
                <w:sz w:val="24"/>
              </w:rPr>
              <w:t>专业</w:t>
            </w:r>
          </w:p>
        </w:tc>
        <w:tc>
          <w:tcPr>
            <w:tcW w:w="3657" w:type="dxa"/>
            <w:gridSpan w:val="4"/>
            <w:vAlign w:val="center"/>
          </w:tcPr>
          <w:p>
            <w:pPr>
              <w:rPr>
                <w:rFonts w:hint="default" w:ascii="黑体" w:hAnsi="黑体" w:eastAsia="黑体" w:cs="黑体"/>
                <w:sz w:val="24"/>
                <w:lang w:val="en-US" w:eastAsia="zh-CN"/>
              </w:rPr>
            </w:pPr>
          </w:p>
        </w:tc>
        <w:tc>
          <w:tcPr>
            <w:tcW w:w="1926" w:type="dxa"/>
            <w:vMerge w:val="continue"/>
            <w:vAlign w:val="center"/>
          </w:tcPr>
          <w:p>
            <w:pP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68" w:type="dxa"/>
            <w:vAlign w:val="center"/>
          </w:tcPr>
          <w:p>
            <w:pPr>
              <w:jc w:val="center"/>
              <w:rPr>
                <w:rFonts w:ascii="黑体" w:hAnsi="黑体" w:eastAsia="黑体" w:cs="黑体"/>
                <w:sz w:val="24"/>
              </w:rPr>
            </w:pPr>
            <w:r>
              <w:rPr>
                <w:rFonts w:hint="eastAsia" w:ascii="黑体" w:hAnsi="黑体" w:eastAsia="黑体" w:cs="黑体"/>
                <w:sz w:val="24"/>
              </w:rPr>
              <w:t>特长爱好</w:t>
            </w:r>
          </w:p>
        </w:tc>
        <w:tc>
          <w:tcPr>
            <w:tcW w:w="7594" w:type="dxa"/>
            <w:gridSpan w:val="7"/>
            <w:vAlign w:val="center"/>
          </w:tcPr>
          <w:p>
            <w:pP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68" w:type="dxa"/>
            <w:vAlign w:val="center"/>
          </w:tcPr>
          <w:p>
            <w:pPr>
              <w:overflowPunct w:val="0"/>
              <w:spacing w:line="400" w:lineRule="exact"/>
              <w:jc w:val="center"/>
              <w:rPr>
                <w:rFonts w:ascii="黑体" w:hAnsi="黑体" w:eastAsia="黑体" w:cs="黑体"/>
                <w:sz w:val="24"/>
              </w:rPr>
            </w:pPr>
            <w:r>
              <w:rPr>
                <w:rFonts w:hint="eastAsia" w:ascii="黑体" w:hAnsi="黑体" w:eastAsia="黑体" w:cs="黑体"/>
                <w:sz w:val="24"/>
                <w:lang w:val="en-US" w:eastAsia="zh-CN"/>
              </w:rPr>
              <w:t>大学以来</w:t>
            </w:r>
            <w:r>
              <w:rPr>
                <w:rFonts w:hint="eastAsia" w:ascii="黑体" w:hAnsi="黑体" w:eastAsia="黑体" w:cs="黑体"/>
                <w:sz w:val="24"/>
              </w:rPr>
              <w:t>工作经历</w:t>
            </w:r>
          </w:p>
        </w:tc>
        <w:tc>
          <w:tcPr>
            <w:tcW w:w="7594" w:type="dxa"/>
            <w:gridSpan w:val="7"/>
            <w:vAlign w:val="center"/>
          </w:tcPr>
          <w:p>
            <w:pPr>
              <w:overflowPunct w:val="0"/>
              <w:spacing w:line="620" w:lineRule="exac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68" w:type="dxa"/>
            <w:vAlign w:val="center"/>
          </w:tcPr>
          <w:p>
            <w:pPr>
              <w:overflowPunct w:val="0"/>
              <w:spacing w:line="400" w:lineRule="exact"/>
              <w:jc w:val="center"/>
              <w:rPr>
                <w:rFonts w:hint="eastAsia" w:ascii="黑体" w:hAnsi="黑体" w:eastAsia="黑体" w:cs="黑体"/>
                <w:sz w:val="24"/>
                <w:lang w:eastAsia="zh-CN"/>
              </w:rPr>
            </w:pPr>
            <w:r>
              <w:rPr>
                <w:rFonts w:hint="eastAsia" w:ascii="黑体" w:hAnsi="黑体" w:eastAsia="黑体" w:cs="黑体"/>
                <w:sz w:val="24"/>
                <w:lang w:val="en-US" w:eastAsia="zh-CN"/>
              </w:rPr>
              <w:t>校级以上</w:t>
            </w:r>
            <w:r>
              <w:rPr>
                <w:rFonts w:hint="eastAsia" w:ascii="黑体" w:hAnsi="黑体" w:eastAsia="黑体" w:cs="黑体"/>
                <w:sz w:val="24"/>
              </w:rPr>
              <w:t>获奖情况</w:t>
            </w:r>
          </w:p>
        </w:tc>
        <w:tc>
          <w:tcPr>
            <w:tcW w:w="7594" w:type="dxa"/>
            <w:gridSpan w:val="7"/>
            <w:vAlign w:val="center"/>
          </w:tcPr>
          <w:p>
            <w:pPr>
              <w:overflowPunct w:val="0"/>
              <w:spacing w:line="620" w:lineRule="exac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24"/>
              </w:rPr>
            </w:pPr>
            <w:r>
              <w:rPr>
                <w:rFonts w:hint="eastAsia" w:ascii="黑体" w:hAnsi="黑体" w:eastAsia="黑体" w:cs="黑体"/>
                <w:sz w:val="24"/>
              </w:rPr>
              <w:t>学院（部）意见</w:t>
            </w:r>
          </w:p>
        </w:tc>
        <w:tc>
          <w:tcPr>
            <w:tcW w:w="7594" w:type="dxa"/>
            <w:gridSpan w:val="7"/>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黑体"/>
                <w:sz w:val="24"/>
              </w:rPr>
            </w:pPr>
          </w:p>
          <w:p>
            <w:pPr>
              <w:ind w:firstLine="480" w:firstLineChars="200"/>
              <w:rPr>
                <w:rFonts w:ascii="黑体" w:hAnsi="黑体" w:eastAsia="黑体" w:cs="黑体"/>
                <w:sz w:val="24"/>
              </w:rPr>
            </w:pPr>
          </w:p>
          <w:p>
            <w:pPr>
              <w:ind w:firstLine="480" w:firstLineChars="200"/>
              <w:rPr>
                <w:rFonts w:ascii="黑体" w:hAnsi="黑体" w:eastAsia="黑体" w:cs="黑体"/>
                <w:sz w:val="24"/>
              </w:rPr>
            </w:pPr>
          </w:p>
          <w:p>
            <w:pPr>
              <w:ind w:firstLine="5880" w:firstLineChars="2450"/>
              <w:rPr>
                <w:rFonts w:ascii="黑体" w:hAnsi="黑体" w:eastAsia="黑体" w:cs="黑体"/>
                <w:sz w:val="24"/>
              </w:rPr>
            </w:pPr>
            <w:r>
              <w:rPr>
                <w:rFonts w:hint="eastAsia" w:ascii="黑体" w:hAnsi="黑体" w:eastAsia="黑体" w:cs="黑体"/>
                <w:sz w:val="24"/>
              </w:rPr>
              <w:t xml:space="preserve">签章 </w:t>
            </w:r>
          </w:p>
          <w:p>
            <w:pPr>
              <w:ind w:firstLine="5880" w:firstLineChars="2450"/>
              <w:rPr>
                <w:rFonts w:ascii="黑体" w:hAnsi="黑体" w:eastAsia="黑体" w:cs="黑体"/>
                <w:sz w:val="24"/>
              </w:rPr>
            </w:pPr>
            <w:r>
              <w:rPr>
                <w:rFonts w:hint="eastAsia" w:ascii="黑体" w:hAnsi="黑体" w:eastAsia="黑体" w:cs="黑体"/>
                <w:sz w:val="24"/>
              </w:rPr>
              <w:t>年   月   日</w:t>
            </w:r>
          </w:p>
        </w:tc>
      </w:tr>
    </w:tbl>
    <w:p/>
    <w:p/>
    <w:p>
      <w:pPr>
        <w:ind w:firstLine="240" w:firstLineChars="100"/>
        <w:rPr>
          <w:rFonts w:hint="eastAsia" w:ascii="黑体" w:hAnsi="黑体" w:eastAsia="黑体" w:cs="黑体"/>
          <w:color w:val="auto"/>
          <w:sz w:val="24"/>
        </w:rPr>
      </w:pPr>
      <w:r>
        <w:rPr>
          <w:rFonts w:hint="eastAsia" w:ascii="黑体" w:hAnsi="黑体" w:eastAsia="黑体" w:cs="黑体"/>
          <w:color w:val="auto"/>
          <w:sz w:val="24"/>
        </w:rPr>
        <w:t>注：此表需加盖学院（部）公章，一式两份，电子版于</w:t>
      </w:r>
      <w:r>
        <w:rPr>
          <w:rFonts w:hint="eastAsia" w:ascii="黑体" w:hAnsi="黑体" w:eastAsia="黑体" w:cs="黑体"/>
          <w:color w:val="auto"/>
          <w:sz w:val="24"/>
          <w:lang w:val="en-US" w:eastAsia="zh-CN"/>
        </w:rPr>
        <w:t>11</w:t>
      </w:r>
      <w:r>
        <w:rPr>
          <w:rFonts w:hint="eastAsia" w:ascii="黑体" w:hAnsi="黑体" w:eastAsia="黑体" w:cs="黑体"/>
          <w:color w:val="auto"/>
          <w:sz w:val="24"/>
        </w:rPr>
        <w:t>月</w:t>
      </w:r>
      <w:r>
        <w:rPr>
          <w:rFonts w:hint="eastAsia" w:ascii="黑体" w:hAnsi="黑体" w:eastAsia="黑体" w:cs="黑体"/>
          <w:color w:val="auto"/>
          <w:sz w:val="24"/>
          <w:lang w:val="en-US" w:eastAsia="zh-CN"/>
        </w:rPr>
        <w:t>20</w:t>
      </w:r>
      <w:r>
        <w:rPr>
          <w:rFonts w:hint="eastAsia" w:ascii="黑体" w:hAnsi="黑体" w:eastAsia="黑体" w:cs="黑体"/>
          <w:color w:val="auto"/>
          <w:sz w:val="24"/>
        </w:rPr>
        <w:t>日前发送至邮箱</w:t>
      </w:r>
      <w:r>
        <w:rPr>
          <w:rFonts w:hint="eastAsia" w:ascii="黑体" w:hAnsi="黑体" w:eastAsia="黑体" w:cs="黑体"/>
          <w:color w:val="auto"/>
          <w:sz w:val="24"/>
          <w:lang w:val="en-US" w:eastAsia="zh-CN"/>
        </w:rPr>
        <w:t>zhengguanyuan2011@163.com</w:t>
      </w:r>
      <w:r>
        <w:rPr>
          <w:rFonts w:hint="eastAsia" w:ascii="黑体" w:hAnsi="黑体" w:eastAsia="黑体" w:cs="黑体"/>
          <w:color w:val="auto"/>
          <w:sz w:val="24"/>
        </w:rPr>
        <w:t>；纸质版</w:t>
      </w:r>
      <w:r>
        <w:rPr>
          <w:rFonts w:hint="eastAsia" w:ascii="黑体" w:hAnsi="黑体" w:eastAsia="黑体" w:cs="黑体"/>
          <w:color w:val="auto"/>
          <w:sz w:val="24"/>
          <w:lang w:eastAsia="zh-CN"/>
        </w:rPr>
        <w:t>在</w:t>
      </w:r>
      <w:r>
        <w:rPr>
          <w:rFonts w:hint="eastAsia" w:ascii="黑体" w:hAnsi="黑体" w:eastAsia="黑体" w:cs="黑体"/>
          <w:color w:val="auto"/>
          <w:sz w:val="24"/>
          <w:lang w:val="en-US" w:eastAsia="zh-CN"/>
        </w:rPr>
        <w:t>11</w:t>
      </w:r>
      <w:r>
        <w:rPr>
          <w:rFonts w:hint="eastAsia" w:ascii="黑体" w:hAnsi="黑体" w:eastAsia="黑体" w:cs="黑体"/>
          <w:color w:val="auto"/>
          <w:sz w:val="24"/>
        </w:rPr>
        <w:t>月</w:t>
      </w:r>
      <w:r>
        <w:rPr>
          <w:rFonts w:hint="eastAsia" w:ascii="黑体" w:hAnsi="黑体" w:eastAsia="黑体" w:cs="黑体"/>
          <w:color w:val="auto"/>
          <w:sz w:val="24"/>
          <w:lang w:val="en-US" w:eastAsia="zh-CN"/>
        </w:rPr>
        <w:t>20</w:t>
      </w:r>
      <w:bookmarkStart w:id="0" w:name="_GoBack"/>
      <w:bookmarkEnd w:id="0"/>
      <w:r>
        <w:rPr>
          <w:rFonts w:hint="eastAsia" w:ascii="黑体" w:hAnsi="黑体" w:eastAsia="黑体" w:cs="黑体"/>
          <w:color w:val="auto"/>
          <w:sz w:val="24"/>
        </w:rPr>
        <w:t>日</w:t>
      </w:r>
      <w:r>
        <w:rPr>
          <w:rFonts w:hint="eastAsia" w:ascii="黑体" w:hAnsi="黑体" w:eastAsia="黑体" w:cs="黑体"/>
          <w:color w:val="auto"/>
          <w:sz w:val="24"/>
          <w:lang w:eastAsia="zh-CN"/>
        </w:rPr>
        <w:t>递</w:t>
      </w:r>
      <w:r>
        <w:rPr>
          <w:rFonts w:hint="eastAsia" w:ascii="黑体" w:hAnsi="黑体" w:eastAsia="黑体" w:cs="黑体"/>
          <w:color w:val="auto"/>
          <w:sz w:val="24"/>
        </w:rPr>
        <w:t>送至政治与公共管理学院</w:t>
      </w:r>
      <w:r>
        <w:rPr>
          <w:rFonts w:hint="eastAsia" w:ascii="黑体" w:hAnsi="黑体" w:eastAsia="黑体" w:cs="黑体"/>
          <w:color w:val="auto"/>
          <w:sz w:val="24"/>
          <w:lang w:val="en-US" w:eastAsia="zh-CN"/>
        </w:rPr>
        <w:t>团委会议室</w:t>
      </w:r>
      <w:r>
        <w:rPr>
          <w:rFonts w:hint="eastAsia" w:ascii="黑体" w:hAnsi="黑体" w:eastAsia="黑体" w:cs="黑体"/>
          <w:color w:val="auto"/>
          <w:sz w:val="24"/>
        </w:rPr>
        <w:t>（东校区崇德楼120室）。</w:t>
      </w:r>
    </w:p>
    <w:p>
      <w:pPr>
        <w:rPr>
          <w:rFonts w:hint="eastAsia" w:ascii="黑体" w:hAnsi="黑体" w:eastAsia="黑体" w:cs="黑体"/>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AE079A-B642-48D6-9C88-9B8C3406F8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00000" w:csb1="00000000"/>
    <w:embedRegular r:id="rId2" w:fontKey="{BBE036FE-1578-4F9B-952C-ADD75631C7B0}"/>
  </w:font>
  <w:font w:name="仿宋">
    <w:panose1 w:val="02010609060101010101"/>
    <w:charset w:val="86"/>
    <w:family w:val="modern"/>
    <w:pitch w:val="default"/>
    <w:sig w:usb0="800002BF" w:usb1="38CF7CFA" w:usb2="00000016" w:usb3="00000000" w:csb0="00040001" w:csb1="00000000"/>
    <w:embedRegular r:id="rId3" w:fontKey="{2D5C4ED2-E70A-4821-B940-BAFC305EE5D0}"/>
  </w:font>
  <w:font w:name="楷体">
    <w:panose1 w:val="02010609060101010101"/>
    <w:charset w:val="86"/>
    <w:family w:val="modern"/>
    <w:pitch w:val="default"/>
    <w:sig w:usb0="800002BF" w:usb1="38CF7CFA" w:usb2="00000016" w:usb3="00000000" w:csb0="00040001" w:csb1="00000000"/>
    <w:embedRegular r:id="rId4" w:fontKey="{47368BAA-E919-42C2-A200-5248BD0AFB57}"/>
  </w:font>
  <w:font w:name="仿宋_GB2312">
    <w:altName w:val="仿宋"/>
    <w:panose1 w:val="00000000000000000000"/>
    <w:charset w:val="86"/>
    <w:family w:val="modern"/>
    <w:pitch w:val="default"/>
    <w:sig w:usb0="00000000" w:usb1="00000000" w:usb2="00000010" w:usb3="00000000" w:csb0="00040000" w:csb1="00000000"/>
    <w:embedRegular r:id="rId5" w:fontKey="{72AF9437-ABCA-4F00-8B1D-9ACECD0775E4}"/>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49A"/>
    <w:rsid w:val="001D2111"/>
    <w:rsid w:val="004D0DB2"/>
    <w:rsid w:val="00A2349A"/>
    <w:rsid w:val="00AD4068"/>
    <w:rsid w:val="00BF0395"/>
    <w:rsid w:val="00E6030E"/>
    <w:rsid w:val="00EB5CAE"/>
    <w:rsid w:val="0428123F"/>
    <w:rsid w:val="087C4930"/>
    <w:rsid w:val="0B5B36A0"/>
    <w:rsid w:val="0D633B94"/>
    <w:rsid w:val="14110B21"/>
    <w:rsid w:val="1D7D4FFD"/>
    <w:rsid w:val="26C768C7"/>
    <w:rsid w:val="29033440"/>
    <w:rsid w:val="2AEC0393"/>
    <w:rsid w:val="2CFA5724"/>
    <w:rsid w:val="2F696BCE"/>
    <w:rsid w:val="30902FBD"/>
    <w:rsid w:val="38CF1597"/>
    <w:rsid w:val="3B9936E5"/>
    <w:rsid w:val="3D7376B4"/>
    <w:rsid w:val="443045C8"/>
    <w:rsid w:val="46BE2FEE"/>
    <w:rsid w:val="47AD56D1"/>
    <w:rsid w:val="4B6A30FF"/>
    <w:rsid w:val="4D9328F7"/>
    <w:rsid w:val="4E180958"/>
    <w:rsid w:val="68F412B5"/>
    <w:rsid w:val="774D3CA9"/>
    <w:rsid w:val="7A414EEB"/>
    <w:rsid w:val="7F8D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666666"/>
      <w:u w:val="none"/>
    </w:rPr>
  </w:style>
  <w:style w:type="character" w:styleId="7">
    <w:name w:val="Hyperlink"/>
    <w:basedOn w:val="5"/>
    <w:qFormat/>
    <w:uiPriority w:val="0"/>
    <w:rPr>
      <w:color w:val="666666"/>
      <w:u w:val="none"/>
    </w:rPr>
  </w:style>
  <w:style w:type="paragraph" w:customStyle="1" w:styleId="8">
    <w:name w:val="List Paragraph1"/>
    <w:basedOn w:val="1"/>
    <w:qFormat/>
    <w:uiPriority w:val="0"/>
    <w:pPr>
      <w:ind w:firstLine="420" w:firstLineChars="200"/>
    </w:pPr>
    <w:rPr>
      <w:rFonts w:cs="Times New Roman"/>
      <w:szCs w:val="21"/>
    </w:rPr>
  </w:style>
  <w:style w:type="paragraph" w:customStyle="1" w:styleId="9">
    <w:name w:val="List Paragraph_8e8a124f-a1c5-418f-82a4-14feb23dbf19"/>
    <w:basedOn w:val="1"/>
    <w:qFormat/>
    <w:uiPriority w:val="34"/>
    <w:pPr>
      <w:ind w:firstLine="420" w:firstLineChars="200"/>
    </w:pPr>
  </w:style>
  <w:style w:type="character" w:customStyle="1" w:styleId="10">
    <w:name w:val="item-name"/>
    <w:basedOn w:val="5"/>
    <w:qFormat/>
    <w:uiPriority w:val="0"/>
  </w:style>
  <w:style w:type="character" w:customStyle="1" w:styleId="11">
    <w:name w:val="item-name1"/>
    <w:basedOn w:val="5"/>
    <w:qFormat/>
    <w:uiPriority w:val="0"/>
  </w:style>
  <w:style w:type="character" w:customStyle="1" w:styleId="12">
    <w:name w:val="left"/>
    <w:basedOn w:val="5"/>
    <w:qFormat/>
    <w:uiPriority w:val="0"/>
  </w:style>
  <w:style w:type="character" w:customStyle="1" w:styleId="13">
    <w:name w:val="right"/>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358</Words>
  <Characters>2044</Characters>
  <Lines>17</Lines>
  <Paragraphs>4</Paragraphs>
  <TotalTime>39</TotalTime>
  <ScaleCrop>false</ScaleCrop>
  <LinksUpToDate>false</LinksUpToDate>
  <CharactersWithSpaces>2398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Administrator.USER-20181204EV</dc:creator>
  <cp:lastModifiedBy>Administrator</cp:lastModifiedBy>
  <dcterms:modified xsi:type="dcterms:W3CDTF">2020-11-18T09:17:55Z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