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附件1</w:t>
      </w:r>
    </w:p>
    <w:p>
      <w:pPr>
        <w:pStyle w:val=""/>
        <w:jc w:val="center"/>
        <w:pageBreakBefore w:val="0"/>
        <w:spacing w:line="60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2025年度</w:t>
      </w:r>
      <w:r>
        <w:rPr>
          <w:rFonts w:ascii="方正小标宋简体" w:hAnsi="方正小标宋简体"/>
          <w:sz w:val="44"/>
          <w:szCs w:val="44"/>
        </w:rPr>
        <w:t>中原</w:t>
      </w:r>
      <w:r>
        <w:rPr>
          <w:rFonts w:ascii="方正小标宋简体" w:hAnsi="方正小标宋简体"/>
          <w:sz w:val="44"/>
          <w:szCs w:val="44"/>
        </w:rPr>
        <w:t>青年拔尖人才</w:t>
      </w:r>
      <w:r>
        <w:rPr>
          <w:rFonts w:ascii="方正小标宋简体" w:hAnsi="方正小标宋简体"/>
          <w:sz w:val="44"/>
          <w:szCs w:val="44"/>
        </w:rPr>
        <w:t>（科技创新领域）</w:t>
      </w:r>
    </w:p>
    <w:p>
      <w:pPr>
        <w:pStyle w:val=""/>
        <w:jc w:val="center"/>
        <w:pageBreakBefore w:val="0"/>
        <w:spacing w:line="60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推荐名额分配表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279" w:type="dxa"/>
        <w:tblStyle w:val="网格型"/>
        <w:tblLook w:val="1E0"/>
        <w:tblW w:w="9592" w:type="dxa"/>
      </w:tblPr>
      <w:tblGrid>
        <w:gridCol w:w="605"/>
        <w:gridCol w:w="548"/>
        <w:gridCol w:w="4489"/>
        <w:gridCol w:w="1117"/>
        <w:gridCol w:w="1283"/>
        <w:gridCol w:w="1550"/>
      </w:tblGrid>
      <w:tr>
        <w:trPr>
          <w:trHeight w:val="475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黑体" w:hAnsi="黑体"/>
                <w:sz w:val="32"/>
                <w:szCs w:val="40"/>
              </w:rPr>
              <w:t>序号</w:t>
            </w: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黑体" w:hAnsi="黑体"/>
                <w:sz w:val="32"/>
                <w:szCs w:val="40"/>
              </w:rPr>
              <w:t>推荐渠道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黑体" w:hAnsi="黑体"/>
                <w:sz w:val="32"/>
                <w:szCs w:val="40"/>
              </w:rPr>
              <w:t>分配名额</w:t>
            </w:r>
          </w:p>
        </w:tc>
      </w:tr>
      <w:tr>
        <w:trPr>
          <w:trHeight w:val="525" w:hRule="atLeast"/>
        </w:trPr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b/>
                <w:color w:val="000000"/>
                <w:rFonts w:ascii="仿宋_GB2312" w:hAnsi="仿宋_GB2312"/>
                <w:sz w:val="32"/>
                <w:szCs w:val="32"/>
              </w:rPr>
              <w:t>个人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  <w:rPr>
                <w:b/>
                <w:color w:val="000000"/>
                <w:rFonts w:ascii="仿宋_GB2312" w:hAnsi="仿宋_GB2312"/>
                <w:sz w:val="32"/>
                <w:szCs w:val="32"/>
              </w:rPr>
            </w:pPr>
            <w:r>
              <w:rPr>
                <w:b/>
                <w:color w:val="000000"/>
                <w:rFonts w:ascii="仿宋_GB2312" w:hAnsi="仿宋_GB2312"/>
                <w:sz w:val="32"/>
                <w:szCs w:val="32"/>
              </w:rPr>
              <w:t>团队</w:t>
            </w:r>
          </w:p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b/>
                <w:color w:val="000000"/>
                <w:rFonts w:ascii="仿宋_GB2312" w:hAnsi="仿宋_GB2312"/>
                <w:sz w:val="30"/>
                <w:szCs w:val="30"/>
              </w:rPr>
              <w:t>（40岁及以下）</w:t>
            </w: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b/>
                <w:color w:val="000000"/>
                <w:rFonts w:ascii="仿宋_GB2312" w:hAnsi="仿宋_GB2312"/>
                <w:sz w:val="32"/>
                <w:szCs w:val="32"/>
              </w:rPr>
              <w:t>35-40岁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b/>
                <w:color w:val="000000"/>
                <w:rFonts w:ascii="仿宋_GB2312" w:hAnsi="仿宋_GB2312"/>
                <w:sz w:val="32"/>
                <w:szCs w:val="32"/>
              </w:rPr>
              <w:t>35岁及以下</w:t>
            </w:r>
          </w:p>
        </w:tc>
        <w:tc>
          <w:tcPr>
            <w:vMerge/>
          </w:tcPr>
          <w:p/>
        </w:tc>
      </w:tr>
      <w:tr>
        <w:trPr>
          <w:trHeight w:val="585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1</w:t>
            </w:r>
          </w:p>
        </w:tc>
        <w:tc>
          <w:tcPr>
            <w:gridSpan w:val="2"/>
            <w:vAlign w:val="top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各省辖市科协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各4个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个</w:t>
            </w:r>
          </w:p>
        </w:tc>
      </w:tr>
      <w:tr>
        <w:trPr>
          <w:trHeight w:val="548" w:hRule="atLeast"/>
        </w:trPr>
        <w:tc>
          <w:tcPr>
            <w:vMerge/>
          </w:tcPr>
          <w:p/>
        </w:tc>
        <w:tc>
          <w:tcPr>
            <w:gridSpan w:val="2"/>
            <w:vAlign w:val="top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济源示范区科协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481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2</w:t>
            </w:r>
          </w:p>
        </w:tc>
        <w:tc>
          <w:tcPr>
            <w:gridSpan w:val="2"/>
            <w:vAlign w:val="top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有关省直有关单位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59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3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各全省学会、协会、研究会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486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4</w:t>
            </w:r>
          </w:p>
        </w:tc>
        <w:tc>
          <w:tcPr>
            <w:vAlign w:val="top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  <w:rPr>
                <w:color w:val="000000"/>
                <w:rFonts w:ascii="仿宋_GB2312" w:hAnsi="仿宋_GB2312"/>
                <w:sz w:val="28"/>
                <w:szCs w:val="28"/>
              </w:rPr>
            </w:pPr>
          </w:p>
          <w:p>
            <w:pPr>
              <w:pStyle w:val=""/>
              <w:jc w:val="center"/>
              <w:pageBreakBefore w:val="0"/>
              <w:spacing w:line="400" w:lineRule="exact"/>
              <w:rPr>
                <w:color w:val="000000"/>
                <w:rFonts w:ascii="仿宋_GB2312" w:hAnsi="仿宋_GB2312"/>
                <w:sz w:val="28"/>
                <w:szCs w:val="28"/>
              </w:rPr>
            </w:pPr>
          </w:p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高校科协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郑州大学科协、河南大学科协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各3个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各8个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个</w:t>
            </w:r>
          </w:p>
        </w:tc>
      </w:tr>
      <w:tr>
        <w:trPr>
          <w:trHeight w:val="1035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left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河南农业大学科协、河南师范大学科协、河南科技大学科协、河南理工大学科协、河南工业大学科协、华北水利水电大学科协、河南中医药大学科协、郑州轻工业大学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各6个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各1个</w:t>
            </w:r>
          </w:p>
        </w:tc>
      </w:tr>
      <w:tr>
        <w:trPr>
          <w:trHeight w:val="447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其他高校科协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各4个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464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5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医疗卫生机构科协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2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各4个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39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6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科研院所科协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540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7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企业科协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2个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</w:p>
        </w:tc>
      </w:tr>
      <w:tr>
        <w:trPr>
          <w:trHeight w:val="540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rFonts w:ascii="仿宋_GB2312" w:hAnsi="仿宋_GB2312"/>
                <w:sz w:val="32"/>
                <w:szCs w:val="40"/>
              </w:rPr>
              <w:t>8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400" w:lineRule="exact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全国重点实验室、省实验室、一流大学（科研院所）郑州研究院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60" w:lineRule="auto"/>
            </w:pPr>
            <w:r>
              <w:rPr>
                <w:color w:val="000000"/>
                <w:rFonts w:ascii="仿宋_GB2312" w:hAnsi="仿宋_GB2312"/>
                <w:sz w:val="28"/>
                <w:szCs w:val="28"/>
              </w:rPr>
              <w:t>各</w:t>
            </w:r>
            <w:r>
              <w:rPr>
                <w:color w:val="000000"/>
                <w:rFonts w:ascii="仿宋_GB2312" w:hAnsi="仿宋_GB2312"/>
                <w:sz w:val="28"/>
                <w:szCs w:val="28"/>
              </w:rPr>
              <w:t>1个</w:t>
            </w:r>
          </w:p>
        </w:tc>
      </w:tr>
    </w:tbl>
    <w:p>
      <w:pPr>
        <w:pStyle w:val=""/>
        <w:pageBreakBefore w:val="0"/>
        <w:spacing w:line="400" w:lineRule="exact"/>
        <w:rPr>
          <w:rFonts w:ascii="仿宋_GB2312" w:hAnsi="仿宋_GB2312"/>
          <w:sz w:val="30"/>
          <w:szCs w:val="30"/>
        </w:rPr>
      </w:pPr>
      <w:r>
        <w:rPr>
          <w:rFonts w:ascii="黑体" w:hAnsi="黑体"/>
          <w:sz w:val="30"/>
          <w:szCs w:val="30"/>
        </w:rPr>
        <w:t>注：</w:t>
      </w:r>
      <w:r>
        <w:rPr>
          <w:rFonts w:ascii="黑体" w:hAnsi="黑体"/>
          <w:sz w:val="30"/>
          <w:szCs w:val="30"/>
        </w:rPr>
        <w:t>1.</w:t>
      </w:r>
      <w:r>
        <w:rPr>
          <w:rFonts w:ascii="仿宋_GB2312" w:hAnsi="仿宋_GB2312"/>
          <w:sz w:val="30"/>
          <w:szCs w:val="30"/>
        </w:rPr>
        <w:t>请各推荐渠道按年龄段分开推荐，各年龄段人选不得超过分配名额。</w:t>
      </w:r>
      <w:r>
        <w:rPr>
          <w:rFonts w:ascii="仿宋_GB2312" w:hAnsi="仿宋_GB2312"/>
          <w:sz w:val="30"/>
          <w:szCs w:val="30"/>
        </w:rPr>
        <w:t>2.</w:t>
      </w:r>
      <w:r>
        <w:rPr>
          <w:rFonts w:ascii="仿宋_GB2312" w:hAnsi="仿宋_GB2312"/>
          <w:sz w:val="30"/>
          <w:szCs w:val="30"/>
        </w:rPr>
        <w:t>人工智能、量子信息、集成电路、生物育种等前沿领域和解决“卡脖子”关键核心技术人才，不受用人单位申报名额限制。</w:t>
      </w:r>
    </w:p>
    <w:sectPr>
      <w:pgSz w:w="11906" w:h="16838"/>
      <w:pgMar w:left="1440" w:right="108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黑体"/>
  <w:font w:name="方正小标宋简体"/>
  <w:font w:name="仿宋_GB2312"/>
  <w:font w:name="华文楷体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