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693D3">
      <w:pPr>
        <w:jc w:val="center"/>
        <w:rPr>
          <w:rFonts w:ascii="方正小标宋简体" w:hAnsi="仿宋" w:eastAsia="方正小标宋简体"/>
          <w:sz w:val="36"/>
          <w:szCs w:val="36"/>
        </w:rPr>
      </w:pPr>
      <w:r>
        <w:rPr>
          <w:rFonts w:hint="eastAsia" w:ascii="方正小标宋简体" w:hAnsi="仿宋" w:eastAsia="方正小标宋简体"/>
          <w:sz w:val="36"/>
          <w:szCs w:val="36"/>
        </w:rPr>
        <w:t>马克思主义学院2026届推荐优秀应届本科毕业生</w:t>
      </w:r>
    </w:p>
    <w:p w14:paraId="189B8025">
      <w:pPr>
        <w:jc w:val="center"/>
        <w:rPr>
          <w:rFonts w:ascii="方正小标宋简体" w:hAnsi="仿宋" w:eastAsia="方正小标宋简体"/>
          <w:sz w:val="36"/>
          <w:szCs w:val="36"/>
        </w:rPr>
      </w:pPr>
      <w:r>
        <w:rPr>
          <w:rFonts w:hint="eastAsia" w:ascii="方正小标宋简体" w:hAnsi="仿宋" w:eastAsia="方正小标宋简体"/>
          <w:sz w:val="36"/>
          <w:szCs w:val="36"/>
        </w:rPr>
        <w:t>免试攻读硕士学位研究生工作实施细则</w:t>
      </w:r>
    </w:p>
    <w:p w14:paraId="7CD27DE8">
      <w:pPr>
        <w:rPr>
          <w:rFonts w:ascii="仿宋" w:hAnsi="仿宋" w:eastAsia="仿宋"/>
          <w:sz w:val="32"/>
          <w:szCs w:val="32"/>
        </w:rPr>
      </w:pPr>
    </w:p>
    <w:p w14:paraId="204CEDB9">
      <w:pPr>
        <w:ind w:firstLine="640" w:firstLineChars="200"/>
        <w:rPr>
          <w:rFonts w:ascii="仿宋" w:hAnsi="仿宋" w:eastAsia="仿宋"/>
          <w:sz w:val="32"/>
          <w:szCs w:val="32"/>
        </w:rPr>
      </w:pPr>
      <w:r>
        <w:rPr>
          <w:rFonts w:hint="eastAsia" w:ascii="仿宋" w:hAnsi="仿宋" w:eastAsia="仿宋"/>
          <w:sz w:val="32"/>
          <w:szCs w:val="32"/>
        </w:rPr>
        <w:t xml:space="preserve">为做好2026届推荐优秀应届本科毕业生免试攻读硕士学位研究生（以下简称推免生）工作，根据《河南师范大学推荐优秀应届本科毕业生免试攻读硕士学位研究生管理办法（修订）》（师大教〔2024〕2号）等文件精神和学校工作要求，结合学院实际情况，制定本细则。 </w:t>
      </w:r>
    </w:p>
    <w:p w14:paraId="5B91FF1B">
      <w:pPr>
        <w:ind w:firstLine="640" w:firstLineChars="200"/>
        <w:rPr>
          <w:rFonts w:ascii="黑体" w:hAnsi="黑体" w:eastAsia="黑体"/>
          <w:sz w:val="32"/>
          <w:szCs w:val="32"/>
        </w:rPr>
      </w:pPr>
      <w:r>
        <w:rPr>
          <w:rFonts w:hint="eastAsia" w:ascii="黑体" w:hAnsi="黑体" w:eastAsia="黑体"/>
          <w:sz w:val="32"/>
          <w:szCs w:val="32"/>
        </w:rPr>
        <w:t>一、组织机构</w:t>
      </w:r>
    </w:p>
    <w:p w14:paraId="24568AB2">
      <w:pPr>
        <w:ind w:firstLine="640" w:firstLineChars="200"/>
        <w:rPr>
          <w:rFonts w:ascii="仿宋" w:hAnsi="仿宋" w:eastAsia="仿宋"/>
          <w:sz w:val="32"/>
          <w:szCs w:val="32"/>
        </w:rPr>
      </w:pPr>
      <w:r>
        <w:rPr>
          <w:rFonts w:hint="eastAsia" w:ascii="仿宋" w:hAnsi="仿宋" w:eastAsia="仿宋"/>
          <w:sz w:val="32"/>
          <w:szCs w:val="32"/>
        </w:rPr>
        <w:t>学院成立推免生遴选工作小组和专家审核小组，负责开展学院2026届推免生工作。</w:t>
      </w:r>
    </w:p>
    <w:p w14:paraId="74EFE649">
      <w:pPr>
        <w:ind w:firstLine="640" w:firstLineChars="200"/>
        <w:rPr>
          <w:rFonts w:ascii="仿宋" w:hAnsi="仿宋" w:eastAsia="仿宋"/>
          <w:sz w:val="32"/>
          <w:szCs w:val="32"/>
        </w:rPr>
      </w:pPr>
      <w:r>
        <w:rPr>
          <w:rFonts w:hint="eastAsia" w:ascii="黑体" w:hAnsi="黑体" w:eastAsia="黑体"/>
          <w:sz w:val="32"/>
          <w:szCs w:val="32"/>
        </w:rPr>
        <w:t>二、推荐条件</w:t>
      </w:r>
    </w:p>
    <w:p w14:paraId="7035CDA9">
      <w:pPr>
        <w:ind w:firstLine="643" w:firstLineChars="200"/>
        <w:rPr>
          <w:rFonts w:ascii="楷体" w:hAnsi="楷体" w:eastAsia="楷体"/>
          <w:b/>
          <w:sz w:val="32"/>
          <w:szCs w:val="32"/>
        </w:rPr>
      </w:pPr>
      <w:r>
        <w:rPr>
          <w:rFonts w:hint="eastAsia" w:ascii="楷体" w:hAnsi="楷体" w:eastAsia="楷体"/>
          <w:b/>
          <w:sz w:val="32"/>
          <w:szCs w:val="32"/>
        </w:rPr>
        <w:t>（一）普通推免生报名条件</w:t>
      </w:r>
    </w:p>
    <w:p w14:paraId="526BA442">
      <w:pPr>
        <w:ind w:firstLine="640" w:firstLineChars="200"/>
        <w:rPr>
          <w:rFonts w:ascii="仿宋" w:hAnsi="仿宋" w:eastAsia="仿宋"/>
          <w:sz w:val="32"/>
          <w:szCs w:val="32"/>
        </w:rPr>
      </w:pPr>
      <w:r>
        <w:rPr>
          <w:rFonts w:hint="eastAsia" w:ascii="仿宋" w:hAnsi="仿宋" w:eastAsia="仿宋"/>
          <w:sz w:val="32"/>
          <w:szCs w:val="32"/>
        </w:rPr>
        <w:t>1.坚持和拥护党的领导，遵纪守法，品德优良，刻苦学习，勤于创新，身心健康，积极向上。</w:t>
      </w:r>
    </w:p>
    <w:p w14:paraId="6BEEE804">
      <w:pPr>
        <w:ind w:firstLine="640" w:firstLineChars="200"/>
        <w:rPr>
          <w:rFonts w:ascii="仿宋" w:hAnsi="仿宋" w:eastAsia="仿宋"/>
          <w:sz w:val="32"/>
          <w:szCs w:val="32"/>
        </w:rPr>
      </w:pPr>
      <w:r>
        <w:rPr>
          <w:rFonts w:hint="eastAsia" w:ascii="仿宋" w:hAnsi="仿宋" w:eastAsia="仿宋"/>
          <w:sz w:val="32"/>
          <w:szCs w:val="32"/>
        </w:rPr>
        <w:t>2.学业综合成绩排名位于本专业学生总人数（不含公费师范生）的前40%（含40%）。有任意课程补考记录者须位于前20%。</w:t>
      </w:r>
    </w:p>
    <w:p w14:paraId="40434314">
      <w:pPr>
        <w:ind w:firstLine="640" w:firstLineChars="200"/>
        <w:rPr>
          <w:rFonts w:ascii="仿宋" w:hAnsi="仿宋" w:eastAsia="仿宋"/>
          <w:sz w:val="32"/>
          <w:szCs w:val="32"/>
        </w:rPr>
      </w:pPr>
      <w:r>
        <w:rPr>
          <w:rFonts w:hint="eastAsia" w:ascii="仿宋" w:hAnsi="仿宋" w:eastAsia="仿宋"/>
          <w:sz w:val="32"/>
          <w:szCs w:val="32"/>
        </w:rPr>
        <w:t>3.英语水平达到大学生英语四级水平(成绩≥425)或雅思成绩达到6.0或托福成绩65分及以上。</w:t>
      </w:r>
    </w:p>
    <w:p w14:paraId="1968FE79">
      <w:pPr>
        <w:ind w:firstLine="643" w:firstLineChars="200"/>
        <w:rPr>
          <w:rFonts w:ascii="仿宋" w:hAnsi="仿宋" w:eastAsia="仿宋"/>
          <w:sz w:val="32"/>
          <w:szCs w:val="32"/>
        </w:rPr>
      </w:pPr>
      <w:bookmarkStart w:id="0" w:name="_GoBack"/>
      <w:bookmarkEnd w:id="0"/>
      <w:r>
        <w:rPr>
          <w:rFonts w:hint="eastAsia" w:ascii="楷体" w:hAnsi="楷体" w:eastAsia="楷体"/>
          <w:b/>
          <w:sz w:val="32"/>
          <w:szCs w:val="32"/>
        </w:rPr>
        <w:t>（二）硕师计划类推免生报名条件</w:t>
      </w:r>
    </w:p>
    <w:p w14:paraId="5194F1D7">
      <w:pPr>
        <w:ind w:firstLine="640" w:firstLineChars="200"/>
        <w:rPr>
          <w:rFonts w:ascii="仿宋" w:hAnsi="仿宋" w:eastAsia="仿宋"/>
          <w:sz w:val="32"/>
          <w:szCs w:val="32"/>
        </w:rPr>
      </w:pPr>
      <w:r>
        <w:rPr>
          <w:rFonts w:hint="eastAsia" w:ascii="仿宋" w:hAnsi="仿宋" w:eastAsia="仿宋"/>
          <w:sz w:val="32"/>
          <w:szCs w:val="32"/>
        </w:rPr>
        <w:t>1.坚持和拥护党的领导，遵纪守法，品德优良，刻苦学习，勤于创新，身心健康，积极向上。有志于从事农村教育教学、研究工作，志愿到县镇及以下农村学校任教。</w:t>
      </w:r>
    </w:p>
    <w:p w14:paraId="0EF1B184">
      <w:pPr>
        <w:ind w:firstLine="640" w:firstLineChars="200"/>
        <w:rPr>
          <w:rFonts w:ascii="仿宋" w:hAnsi="仿宋" w:eastAsia="仿宋"/>
          <w:sz w:val="32"/>
          <w:szCs w:val="32"/>
        </w:rPr>
      </w:pPr>
      <w:r>
        <w:rPr>
          <w:rFonts w:hint="eastAsia" w:ascii="仿宋" w:hAnsi="仿宋" w:eastAsia="仿宋"/>
          <w:sz w:val="32"/>
          <w:szCs w:val="32"/>
        </w:rPr>
        <w:t>2.学业综合成绩排名位于本专业学生总人数的前60%（含60%），有任意课程补考记录者须位于前30%（含30%）。</w:t>
      </w:r>
    </w:p>
    <w:p w14:paraId="73A91F5B">
      <w:pPr>
        <w:ind w:firstLine="640" w:firstLineChars="200"/>
        <w:rPr>
          <w:rFonts w:ascii="仿宋" w:hAnsi="仿宋" w:eastAsia="仿宋"/>
          <w:sz w:val="32"/>
          <w:szCs w:val="32"/>
        </w:rPr>
      </w:pPr>
      <w:r>
        <w:rPr>
          <w:rFonts w:hint="eastAsia" w:ascii="仿宋" w:hAnsi="仿宋" w:eastAsia="仿宋"/>
          <w:sz w:val="32"/>
          <w:szCs w:val="32"/>
        </w:rPr>
        <w:t>3.英语水平达到大学生英语四级水平(成绩≥425)或雅思成绩达到6.0或托福成绩65分及以上。</w:t>
      </w:r>
    </w:p>
    <w:p w14:paraId="3BD451AD">
      <w:pPr>
        <w:ind w:firstLine="640" w:firstLineChars="200"/>
        <w:rPr>
          <w:rFonts w:ascii="仿宋" w:hAnsi="仿宋" w:eastAsia="仿宋"/>
          <w:sz w:val="32"/>
          <w:szCs w:val="32"/>
        </w:rPr>
      </w:pPr>
      <w:r>
        <w:rPr>
          <w:rFonts w:hint="eastAsia" w:ascii="仿宋" w:hAnsi="仿宋" w:eastAsia="仿宋"/>
          <w:sz w:val="32"/>
          <w:szCs w:val="32"/>
        </w:rPr>
        <w:t>4.在教学技能竞赛中获得省级及以上奖励者，或在校学习期间以第一作者在中文核心及以上刊物上发表教学研究类论文者，或参加过一学期支教的师范类毕业生，同等条件下可优先推荐。</w:t>
      </w:r>
    </w:p>
    <w:p w14:paraId="2E00D738">
      <w:pPr>
        <w:ind w:firstLine="643" w:firstLineChars="200"/>
        <w:rPr>
          <w:rFonts w:ascii="仿宋" w:hAnsi="仿宋" w:eastAsia="仿宋"/>
          <w:sz w:val="32"/>
          <w:szCs w:val="32"/>
        </w:rPr>
      </w:pPr>
      <w:r>
        <w:rPr>
          <w:rFonts w:hint="eastAsia" w:ascii="楷体" w:hAnsi="楷体" w:eastAsia="楷体"/>
          <w:b/>
          <w:sz w:val="32"/>
          <w:szCs w:val="32"/>
        </w:rPr>
        <w:t>（三）研究生支教团推免生报名条件</w:t>
      </w:r>
    </w:p>
    <w:p w14:paraId="38E85181">
      <w:pPr>
        <w:ind w:firstLine="640" w:firstLineChars="200"/>
        <w:rPr>
          <w:rFonts w:ascii="仿宋" w:hAnsi="仿宋" w:eastAsia="仿宋"/>
          <w:sz w:val="32"/>
          <w:szCs w:val="32"/>
        </w:rPr>
      </w:pPr>
      <w:r>
        <w:rPr>
          <w:rFonts w:hint="eastAsia" w:ascii="仿宋" w:hAnsi="仿宋" w:eastAsia="仿宋"/>
          <w:sz w:val="32"/>
          <w:szCs w:val="32"/>
        </w:rPr>
        <w:t>1.坚持和拥护党的领导，遵纪守法，品德优良，具有高尚的爱国主义情操和集体主义精神，理想信念坚定，社会责任感强，积极参加志愿服务。</w:t>
      </w:r>
    </w:p>
    <w:p w14:paraId="6AC7DBA6">
      <w:pPr>
        <w:ind w:firstLine="640" w:firstLineChars="200"/>
        <w:rPr>
          <w:rFonts w:ascii="仿宋" w:hAnsi="仿宋" w:eastAsia="仿宋"/>
          <w:sz w:val="32"/>
          <w:szCs w:val="32"/>
        </w:rPr>
      </w:pPr>
      <w:r>
        <w:rPr>
          <w:rFonts w:hint="eastAsia" w:ascii="仿宋" w:hAnsi="仿宋" w:eastAsia="仿宋"/>
          <w:sz w:val="32"/>
          <w:szCs w:val="32"/>
        </w:rPr>
        <w:t>2.学业综合成绩排名位于本专业学生总人数（不含公费师范生）的前40%（含40%）。</w:t>
      </w:r>
    </w:p>
    <w:p w14:paraId="0912A24A">
      <w:pPr>
        <w:ind w:firstLine="640" w:firstLineChars="200"/>
        <w:rPr>
          <w:rFonts w:ascii="仿宋" w:hAnsi="仿宋" w:eastAsia="仿宋"/>
          <w:sz w:val="32"/>
          <w:szCs w:val="32"/>
        </w:rPr>
      </w:pPr>
      <w:r>
        <w:rPr>
          <w:rFonts w:hint="eastAsia" w:ascii="仿宋" w:hAnsi="仿宋" w:eastAsia="仿宋"/>
          <w:sz w:val="32"/>
          <w:szCs w:val="32"/>
        </w:rPr>
        <w:t>3.英语水平达到大学生英语四级水平(成绩≥425)或雅思成绩达到6.0或托福成绩65分及以上。</w:t>
      </w:r>
    </w:p>
    <w:p w14:paraId="3E248E93">
      <w:pPr>
        <w:ind w:firstLine="640" w:firstLineChars="200"/>
        <w:rPr>
          <w:rFonts w:ascii="仿宋" w:hAnsi="仿宋" w:eastAsia="仿宋"/>
          <w:sz w:val="32"/>
          <w:szCs w:val="32"/>
        </w:rPr>
      </w:pPr>
      <w:r>
        <w:rPr>
          <w:rFonts w:hint="eastAsia" w:ascii="仿宋" w:hAnsi="仿宋" w:eastAsia="仿宋"/>
          <w:sz w:val="32"/>
          <w:szCs w:val="32"/>
        </w:rPr>
        <w:t>4.身心健康，达到全国大学生志愿服务西部计划项目管理办公室关于体检和心理测评的相关文件要求，能胜任西部地区基础教育志愿服务计划，服从全国大学生志愿服务西部计划项目管理办公室对支教地的统筹安排和调剂。</w:t>
      </w:r>
    </w:p>
    <w:p w14:paraId="348C2DF7">
      <w:pPr>
        <w:ind w:firstLine="640" w:firstLineChars="200"/>
        <w:rPr>
          <w:rFonts w:ascii="仿宋" w:hAnsi="仿宋" w:eastAsia="仿宋"/>
          <w:sz w:val="32"/>
          <w:szCs w:val="32"/>
        </w:rPr>
      </w:pPr>
      <w:r>
        <w:rPr>
          <w:rFonts w:hint="eastAsia" w:ascii="仿宋" w:hAnsi="仿宋" w:eastAsia="仿宋"/>
          <w:sz w:val="32"/>
          <w:szCs w:val="32"/>
        </w:rPr>
        <w:t>5.中共党员（含预备党员）、师范生、非师范生持有中小学教师资格证者，同等条件下优先考虑。</w:t>
      </w:r>
    </w:p>
    <w:p w14:paraId="144242D9">
      <w:pPr>
        <w:ind w:firstLine="643" w:firstLineChars="200"/>
        <w:rPr>
          <w:rFonts w:ascii="仿宋" w:hAnsi="仿宋" w:eastAsia="仿宋"/>
          <w:sz w:val="32"/>
          <w:szCs w:val="32"/>
        </w:rPr>
      </w:pPr>
      <w:r>
        <w:rPr>
          <w:rFonts w:hint="eastAsia" w:ascii="楷体" w:hAnsi="楷体" w:eastAsia="楷体"/>
          <w:b/>
          <w:sz w:val="32"/>
          <w:szCs w:val="32"/>
        </w:rPr>
        <w:t>（四）公费师范生</w:t>
      </w:r>
    </w:p>
    <w:p w14:paraId="4D0B3C93">
      <w:pPr>
        <w:ind w:firstLine="640" w:firstLineChars="200"/>
        <w:rPr>
          <w:rFonts w:ascii="仿宋" w:hAnsi="仿宋" w:eastAsia="仿宋"/>
          <w:sz w:val="32"/>
          <w:szCs w:val="32"/>
        </w:rPr>
      </w:pPr>
      <w:r>
        <w:rPr>
          <w:rFonts w:hint="eastAsia" w:ascii="仿宋" w:hAnsi="仿宋" w:eastAsia="仿宋"/>
          <w:sz w:val="32"/>
          <w:szCs w:val="32"/>
        </w:rPr>
        <w:t>按照《河南省师范生公费教育实施办法》（豫教师〔2023〕299号）第二十二条规定，具有推免硕士研究生资格的公费师范生须经定向县(市)教育行政部门同意，并签订补充协议(承诺硕士研究生毕业后按期回到定向县(市)任教不少于6年，期间不得办理解约)后，可进行推免。</w:t>
      </w:r>
    </w:p>
    <w:p w14:paraId="3802B260">
      <w:pPr>
        <w:ind w:firstLine="643" w:firstLineChars="200"/>
        <w:rPr>
          <w:rFonts w:ascii="仿宋" w:hAnsi="仿宋" w:eastAsia="楷体"/>
          <w:sz w:val="32"/>
          <w:szCs w:val="32"/>
        </w:rPr>
      </w:pPr>
      <w:r>
        <w:rPr>
          <w:rFonts w:hint="eastAsia" w:ascii="楷体" w:hAnsi="楷体" w:eastAsia="楷体"/>
          <w:b/>
          <w:sz w:val="32"/>
          <w:szCs w:val="32"/>
        </w:rPr>
        <w:t>（五）有下列情况之一者，不予推荐：</w:t>
      </w:r>
    </w:p>
    <w:p w14:paraId="770C456B">
      <w:pPr>
        <w:ind w:firstLine="640" w:firstLineChars="200"/>
        <w:rPr>
          <w:rFonts w:ascii="仿宋" w:hAnsi="仿宋" w:eastAsia="仿宋"/>
          <w:sz w:val="32"/>
          <w:szCs w:val="32"/>
        </w:rPr>
      </w:pPr>
      <w:r>
        <w:rPr>
          <w:rFonts w:hint="eastAsia" w:ascii="仿宋" w:hAnsi="仿宋" w:eastAsia="仿宋"/>
          <w:sz w:val="32"/>
          <w:szCs w:val="32"/>
        </w:rPr>
        <w:t>1.考试作弊及协同作弊者；</w:t>
      </w:r>
    </w:p>
    <w:p w14:paraId="4B901B08">
      <w:pPr>
        <w:ind w:firstLine="640" w:firstLineChars="200"/>
        <w:rPr>
          <w:rFonts w:ascii="仿宋" w:hAnsi="仿宋" w:eastAsia="仿宋"/>
          <w:sz w:val="32"/>
          <w:szCs w:val="32"/>
        </w:rPr>
      </w:pPr>
      <w:r>
        <w:rPr>
          <w:rFonts w:hint="eastAsia" w:ascii="仿宋" w:hAnsi="仿宋" w:eastAsia="仿宋"/>
          <w:sz w:val="32"/>
          <w:szCs w:val="32"/>
        </w:rPr>
        <w:t>2.受过警告及以上纪律处分者；</w:t>
      </w:r>
    </w:p>
    <w:p w14:paraId="7017DF19">
      <w:pPr>
        <w:ind w:firstLine="640" w:firstLineChars="200"/>
        <w:rPr>
          <w:rFonts w:ascii="仿宋" w:hAnsi="仿宋" w:eastAsia="仿宋"/>
          <w:sz w:val="32"/>
          <w:szCs w:val="32"/>
        </w:rPr>
      </w:pPr>
      <w:r>
        <w:rPr>
          <w:rFonts w:hint="eastAsia" w:ascii="仿宋" w:hAnsi="仿宋" w:eastAsia="仿宋"/>
          <w:sz w:val="32"/>
          <w:szCs w:val="32"/>
        </w:rPr>
        <w:t>3.推荐时已确定不能获得学士学位者。</w:t>
      </w:r>
    </w:p>
    <w:p w14:paraId="12918D37">
      <w:pPr>
        <w:ind w:firstLine="643" w:firstLineChars="200"/>
        <w:rPr>
          <w:rFonts w:ascii="仿宋" w:hAnsi="仿宋" w:eastAsia="楷体"/>
          <w:sz w:val="32"/>
          <w:szCs w:val="32"/>
        </w:rPr>
      </w:pPr>
      <w:r>
        <w:rPr>
          <w:rFonts w:hint="eastAsia" w:ascii="楷体" w:hAnsi="楷体" w:eastAsia="楷体"/>
          <w:b/>
          <w:sz w:val="32"/>
          <w:szCs w:val="32"/>
        </w:rPr>
        <w:t>（六）已经获得推免资格的学生，如有下列情况之一者，学校将取消其推免资格：</w:t>
      </w:r>
    </w:p>
    <w:p w14:paraId="18BD3D11">
      <w:pPr>
        <w:ind w:firstLine="640" w:firstLineChars="200"/>
        <w:rPr>
          <w:rFonts w:ascii="仿宋" w:hAnsi="仿宋" w:eastAsia="仿宋"/>
          <w:sz w:val="32"/>
          <w:szCs w:val="32"/>
        </w:rPr>
      </w:pPr>
      <w:r>
        <w:rPr>
          <w:rFonts w:hint="eastAsia" w:ascii="仿宋" w:hAnsi="仿宋" w:eastAsia="仿宋"/>
          <w:sz w:val="32"/>
          <w:szCs w:val="32"/>
        </w:rPr>
        <w:t>1.被确定推免后，受刑事或违纪处分者；</w:t>
      </w:r>
    </w:p>
    <w:p w14:paraId="0076405D">
      <w:pPr>
        <w:ind w:firstLine="640" w:firstLineChars="200"/>
        <w:rPr>
          <w:rFonts w:ascii="仿宋" w:hAnsi="仿宋" w:eastAsia="仿宋"/>
          <w:sz w:val="32"/>
          <w:szCs w:val="32"/>
        </w:rPr>
      </w:pPr>
      <w:r>
        <w:rPr>
          <w:rFonts w:hint="eastAsia" w:ascii="仿宋" w:hAnsi="仿宋" w:eastAsia="仿宋"/>
          <w:sz w:val="32"/>
          <w:szCs w:val="32"/>
        </w:rPr>
        <w:t>2.不能如期毕业，或不能获得学士学位者；</w:t>
      </w:r>
    </w:p>
    <w:p w14:paraId="304A96EF">
      <w:pPr>
        <w:ind w:firstLine="640" w:firstLineChars="200"/>
        <w:rPr>
          <w:rFonts w:ascii="仿宋" w:hAnsi="仿宋" w:eastAsia="仿宋"/>
          <w:sz w:val="32"/>
          <w:szCs w:val="32"/>
        </w:rPr>
      </w:pPr>
      <w:r>
        <w:rPr>
          <w:rFonts w:hint="eastAsia" w:ascii="仿宋" w:hAnsi="仿宋" w:eastAsia="仿宋"/>
          <w:sz w:val="32"/>
          <w:szCs w:val="32"/>
        </w:rPr>
        <w:t>3.被发现所提供的成绩或其他材料不实，弄虚作假者。</w:t>
      </w:r>
    </w:p>
    <w:p w14:paraId="22427E28">
      <w:pPr>
        <w:ind w:firstLine="640" w:firstLineChars="200"/>
        <w:rPr>
          <w:rFonts w:ascii="仿宋" w:hAnsi="仿宋" w:eastAsia="仿宋"/>
          <w:sz w:val="32"/>
          <w:szCs w:val="32"/>
        </w:rPr>
      </w:pPr>
      <w:r>
        <w:rPr>
          <w:rFonts w:hint="eastAsia" w:ascii="仿宋" w:hAnsi="仿宋" w:eastAsia="仿宋"/>
          <w:sz w:val="32"/>
          <w:szCs w:val="32"/>
        </w:rPr>
        <w:t>注：“硕师计划”类推免生应在学校规定时间内，与河南省扶贫开发工作重点县教体局或任教学校签订聘用合同。</w:t>
      </w:r>
    </w:p>
    <w:p w14:paraId="7FF90F67">
      <w:pPr>
        <w:ind w:firstLine="640" w:firstLineChars="200"/>
        <w:rPr>
          <w:rFonts w:ascii="仿宋" w:hAnsi="仿宋" w:eastAsia="仿宋"/>
          <w:sz w:val="32"/>
          <w:szCs w:val="32"/>
        </w:rPr>
      </w:pPr>
      <w:r>
        <w:rPr>
          <w:rFonts w:hint="eastAsia" w:ascii="黑体" w:hAnsi="黑体" w:eastAsia="黑体"/>
          <w:sz w:val="32"/>
          <w:szCs w:val="32"/>
        </w:rPr>
        <w:t>三、工作流程</w:t>
      </w:r>
    </w:p>
    <w:p w14:paraId="5C45C383">
      <w:pPr>
        <w:ind w:firstLine="643" w:firstLineChars="200"/>
        <w:rPr>
          <w:rFonts w:ascii="仿宋" w:hAnsi="仿宋" w:eastAsia="楷体"/>
          <w:sz w:val="32"/>
          <w:szCs w:val="32"/>
        </w:rPr>
      </w:pPr>
      <w:r>
        <w:rPr>
          <w:rFonts w:hint="eastAsia" w:ascii="楷体" w:hAnsi="楷体" w:eastAsia="楷体"/>
          <w:b/>
          <w:sz w:val="32"/>
          <w:szCs w:val="32"/>
        </w:rPr>
        <w:t>（一）制定细则</w:t>
      </w:r>
    </w:p>
    <w:p w14:paraId="5B424211">
      <w:pPr>
        <w:ind w:firstLine="640" w:firstLineChars="200"/>
        <w:rPr>
          <w:rFonts w:ascii="仿宋" w:hAnsi="仿宋" w:eastAsia="仿宋"/>
          <w:sz w:val="32"/>
          <w:szCs w:val="32"/>
        </w:rPr>
      </w:pPr>
      <w:r>
        <w:rPr>
          <w:rFonts w:hint="eastAsia" w:ascii="仿宋" w:hAnsi="仿宋" w:eastAsia="仿宋"/>
          <w:sz w:val="32"/>
          <w:szCs w:val="32"/>
        </w:rPr>
        <w:t>1.学院落实立德树人根本任务，坚持德智体美劳全面衡量，以德为先，学生的思想品德考核作为推免生遴选的首要依据，贯穿推荐全过程，思想品德考核不合格者不予推荐。</w:t>
      </w:r>
    </w:p>
    <w:p w14:paraId="0578CC75">
      <w:pPr>
        <w:ind w:firstLine="640" w:firstLineChars="200"/>
        <w:rPr>
          <w:rFonts w:ascii="仿宋" w:hAnsi="仿宋" w:eastAsia="仿宋"/>
          <w:sz w:val="32"/>
          <w:szCs w:val="32"/>
        </w:rPr>
      </w:pPr>
      <w:r>
        <w:rPr>
          <w:rFonts w:hint="eastAsia" w:ascii="仿宋" w:hAnsi="仿宋" w:eastAsia="仿宋"/>
          <w:sz w:val="32"/>
          <w:szCs w:val="32"/>
        </w:rPr>
        <w:t>2.依据《河南师范大学推荐优秀应届本科毕业生免试攻读硕士学位研究生管理办法（修订）》等文件要求制定推免工作实施细则，经学院推免生遴选工作小组讨论通过后，报教务处审核，教务处审核通过后，在学院网站公示。</w:t>
      </w:r>
    </w:p>
    <w:p w14:paraId="024E62EC">
      <w:pPr>
        <w:ind w:firstLine="643" w:firstLineChars="200"/>
        <w:rPr>
          <w:rFonts w:ascii="仿宋" w:hAnsi="仿宋" w:eastAsia="仿宋"/>
          <w:sz w:val="32"/>
          <w:szCs w:val="32"/>
        </w:rPr>
      </w:pPr>
      <w:r>
        <w:rPr>
          <w:rFonts w:hint="eastAsia" w:ascii="楷体" w:hAnsi="楷体" w:eastAsia="楷体"/>
          <w:b/>
          <w:sz w:val="32"/>
          <w:szCs w:val="32"/>
        </w:rPr>
        <w:t>（二）组织报名</w:t>
      </w:r>
    </w:p>
    <w:p w14:paraId="2175606C">
      <w:pPr>
        <w:ind w:firstLine="640" w:firstLineChars="200"/>
        <w:rPr>
          <w:rFonts w:ascii="仿宋" w:hAnsi="仿宋" w:eastAsia="仿宋"/>
          <w:sz w:val="32"/>
          <w:szCs w:val="32"/>
        </w:rPr>
      </w:pPr>
      <w:r>
        <w:rPr>
          <w:rFonts w:hint="eastAsia" w:ascii="仿宋" w:hAnsi="仿宋" w:eastAsia="仿宋"/>
          <w:sz w:val="32"/>
          <w:szCs w:val="32"/>
        </w:rPr>
        <w:t>1.具备报名资格的学生在规定时间内自愿到学院指定地点申请报名，填写《河南师范大学免试研究生资格申请表》（一式2份，学院1份，教务处1份）。未填写申请表者视为放弃推免资格。</w:t>
      </w:r>
    </w:p>
    <w:p w14:paraId="330099E9">
      <w:pPr>
        <w:ind w:firstLine="640" w:firstLineChars="200"/>
        <w:rPr>
          <w:rFonts w:ascii="仿宋" w:hAnsi="仿宋" w:eastAsia="仿宋"/>
          <w:sz w:val="32"/>
          <w:szCs w:val="32"/>
        </w:rPr>
      </w:pPr>
      <w:r>
        <w:rPr>
          <w:rFonts w:hint="eastAsia" w:ascii="仿宋" w:hAnsi="仿宋" w:eastAsia="仿宋"/>
          <w:sz w:val="32"/>
          <w:szCs w:val="32"/>
        </w:rPr>
        <w:t>2.符合推荐免试条件的学生在报名时需要提交个人书面申请书（本人手写并签名）并保证在参加推免中提交的个人所有材料真实有效。</w:t>
      </w:r>
    </w:p>
    <w:p w14:paraId="44159376">
      <w:pPr>
        <w:ind w:firstLine="643" w:firstLineChars="200"/>
        <w:rPr>
          <w:rFonts w:ascii="仿宋" w:hAnsi="仿宋" w:eastAsia="仿宋"/>
          <w:sz w:val="32"/>
          <w:szCs w:val="32"/>
        </w:rPr>
      </w:pPr>
      <w:r>
        <w:rPr>
          <w:rFonts w:hint="eastAsia" w:ascii="楷体" w:hAnsi="楷体" w:eastAsia="楷体"/>
          <w:b/>
          <w:sz w:val="32"/>
          <w:szCs w:val="32"/>
        </w:rPr>
        <w:t>（三）学院审核</w:t>
      </w:r>
    </w:p>
    <w:p w14:paraId="6872FF21">
      <w:pPr>
        <w:ind w:firstLine="640" w:firstLineChars="200"/>
        <w:rPr>
          <w:rFonts w:ascii="仿宋" w:hAnsi="仿宋" w:eastAsia="仿宋"/>
          <w:sz w:val="32"/>
          <w:szCs w:val="32"/>
        </w:rPr>
      </w:pPr>
      <w:r>
        <w:rPr>
          <w:rFonts w:hint="eastAsia" w:ascii="仿宋" w:hAnsi="仿宋" w:eastAsia="仿宋"/>
          <w:sz w:val="32"/>
          <w:szCs w:val="32"/>
        </w:rPr>
        <w:t>在规定时间内，学院根据推荐条件对报名学生进行资格审查。对符合条件的学生，学院依据推免生工作实施细则中规定的排名办法进行排序。</w:t>
      </w:r>
    </w:p>
    <w:p w14:paraId="5BE3FF2B">
      <w:pPr>
        <w:ind w:firstLine="643" w:firstLineChars="200"/>
        <w:rPr>
          <w:rFonts w:ascii="仿宋" w:hAnsi="仿宋" w:eastAsia="仿宋"/>
          <w:sz w:val="32"/>
          <w:szCs w:val="32"/>
        </w:rPr>
      </w:pPr>
      <w:r>
        <w:rPr>
          <w:rFonts w:hint="eastAsia" w:ascii="楷体" w:hAnsi="楷体" w:eastAsia="楷体"/>
          <w:b/>
          <w:sz w:val="32"/>
          <w:szCs w:val="32"/>
        </w:rPr>
        <w:t>（四）学院公示</w:t>
      </w:r>
    </w:p>
    <w:p w14:paraId="05C2B047">
      <w:pPr>
        <w:ind w:firstLine="640" w:firstLineChars="200"/>
        <w:rPr>
          <w:rFonts w:ascii="仿宋" w:hAnsi="仿宋" w:eastAsia="仿宋"/>
          <w:sz w:val="32"/>
          <w:szCs w:val="32"/>
        </w:rPr>
      </w:pPr>
      <w:r>
        <w:rPr>
          <w:rFonts w:hint="eastAsia" w:ascii="仿宋" w:hAnsi="仿宋" w:eastAsia="仿宋"/>
          <w:sz w:val="32"/>
          <w:szCs w:val="32"/>
        </w:rPr>
        <w:t>经学院推免生遴选工作小组评议，按公布指标确定推荐人员名单，并在学院公示栏公示，接受师生监督。</w:t>
      </w:r>
    </w:p>
    <w:p w14:paraId="05049B4F">
      <w:pPr>
        <w:ind w:firstLine="643" w:firstLineChars="200"/>
        <w:rPr>
          <w:rFonts w:ascii="仿宋" w:hAnsi="仿宋" w:eastAsia="仿宋"/>
          <w:sz w:val="32"/>
          <w:szCs w:val="32"/>
        </w:rPr>
      </w:pPr>
      <w:r>
        <w:rPr>
          <w:rFonts w:hint="eastAsia" w:ascii="楷体" w:hAnsi="楷体" w:eastAsia="楷体"/>
          <w:b/>
          <w:sz w:val="32"/>
          <w:szCs w:val="32"/>
        </w:rPr>
        <w:t>（五）上报材料</w:t>
      </w:r>
    </w:p>
    <w:p w14:paraId="529CE1C0">
      <w:pPr>
        <w:ind w:firstLine="640" w:firstLineChars="200"/>
        <w:rPr>
          <w:rFonts w:ascii="仿宋" w:hAnsi="仿宋" w:eastAsia="仿宋"/>
          <w:sz w:val="32"/>
          <w:szCs w:val="32"/>
        </w:rPr>
      </w:pPr>
      <w:r>
        <w:rPr>
          <w:rFonts w:hint="eastAsia" w:ascii="仿宋" w:hAnsi="仿宋" w:eastAsia="仿宋"/>
          <w:sz w:val="32"/>
          <w:szCs w:val="32"/>
        </w:rPr>
        <w:t>在规定时间内，学院将经推免生遴选工作小组组长签字并加盖学院公章的工作小组成员名单、《河南师范大学免试研究生信息汇总表》《河南师范大学免试研究生资格申请表》等材料报送教务处。</w:t>
      </w:r>
    </w:p>
    <w:p w14:paraId="02A066E1">
      <w:pPr>
        <w:ind w:firstLine="643" w:firstLineChars="200"/>
        <w:rPr>
          <w:rFonts w:ascii="仿宋" w:hAnsi="仿宋" w:eastAsia="仿宋"/>
          <w:sz w:val="32"/>
          <w:szCs w:val="32"/>
        </w:rPr>
      </w:pPr>
      <w:r>
        <w:rPr>
          <w:rFonts w:hint="eastAsia" w:ascii="楷体" w:hAnsi="楷体" w:eastAsia="楷体"/>
          <w:b/>
          <w:sz w:val="32"/>
          <w:szCs w:val="32"/>
        </w:rPr>
        <w:t>（六）学校公示</w:t>
      </w:r>
    </w:p>
    <w:p w14:paraId="0B844C7E">
      <w:pPr>
        <w:ind w:firstLine="640" w:firstLineChars="200"/>
        <w:rPr>
          <w:rFonts w:ascii="仿宋" w:hAnsi="仿宋" w:eastAsia="仿宋"/>
          <w:sz w:val="32"/>
          <w:szCs w:val="32"/>
        </w:rPr>
      </w:pPr>
      <w:r>
        <w:rPr>
          <w:rFonts w:hint="eastAsia" w:ascii="仿宋" w:hAnsi="仿宋" w:eastAsia="仿宋"/>
          <w:sz w:val="32"/>
          <w:szCs w:val="32"/>
        </w:rPr>
        <w:t>各类推免生名单经学校推免生遴选工作领导小组审议通过后，在校园网主页或教务处主页上公示。</w:t>
      </w:r>
    </w:p>
    <w:p w14:paraId="71D1F40F">
      <w:pPr>
        <w:ind w:firstLine="640" w:firstLineChars="200"/>
        <w:rPr>
          <w:rFonts w:ascii="仿宋" w:hAnsi="仿宋" w:eastAsia="仿宋"/>
          <w:sz w:val="32"/>
          <w:szCs w:val="32"/>
        </w:rPr>
      </w:pPr>
      <w:r>
        <w:rPr>
          <w:rFonts w:hint="eastAsia" w:ascii="黑体" w:hAnsi="黑体" w:eastAsia="黑体"/>
          <w:sz w:val="32"/>
          <w:szCs w:val="32"/>
        </w:rPr>
        <w:t>四、推免遴选综合评价成绩计算办法</w:t>
      </w:r>
    </w:p>
    <w:p w14:paraId="05D39438">
      <w:pPr>
        <w:ind w:firstLine="640" w:firstLineChars="200"/>
        <w:rPr>
          <w:rFonts w:ascii="仿宋" w:hAnsi="仿宋" w:eastAsia="仿宋"/>
          <w:sz w:val="32"/>
          <w:szCs w:val="32"/>
        </w:rPr>
      </w:pPr>
      <w:r>
        <w:rPr>
          <w:rFonts w:hint="eastAsia" w:ascii="仿宋" w:hAnsi="仿宋" w:eastAsia="仿宋"/>
          <w:sz w:val="32"/>
          <w:szCs w:val="32"/>
        </w:rPr>
        <w:t>综合评价成绩=学业综合成绩+素质类综合成绩（满分 100 分）</w:t>
      </w:r>
    </w:p>
    <w:p w14:paraId="1306AA76">
      <w:pPr>
        <w:spacing w:line="560" w:lineRule="exact"/>
        <w:ind w:firstLine="640" w:firstLineChars="200"/>
        <w:jc w:val="center"/>
        <w:outlineLvl w:val="0"/>
        <w:rPr>
          <w:rFonts w:ascii="方正小标宋简体" w:hAnsi="仿宋" w:eastAsia="方正小标宋简体" w:cs="仿宋"/>
          <w:sz w:val="32"/>
          <w:szCs w:val="32"/>
        </w:rPr>
      </w:pPr>
      <w:r>
        <w:rPr>
          <w:rFonts w:hint="eastAsia" w:ascii="方正小标宋简体" w:hAnsi="仿宋" w:eastAsia="方正小标宋简体" w:cs="仿宋"/>
          <w:sz w:val="32"/>
          <w:szCs w:val="32"/>
        </w:rPr>
        <w:t>推免遴选综合评价成绩构成表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23"/>
        <w:gridCol w:w="2230"/>
        <w:gridCol w:w="1559"/>
        <w:gridCol w:w="709"/>
        <w:gridCol w:w="1184"/>
      </w:tblGrid>
      <w:tr w14:paraId="752B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C14EC7">
            <w:pPr>
              <w:jc w:val="center"/>
              <w:rPr>
                <w:rFonts w:ascii="宋体" w:hAnsi="宋体" w:cs="Times New Roman"/>
                <w:b/>
              </w:rPr>
            </w:pPr>
            <w:r>
              <w:rPr>
                <w:rFonts w:hint="eastAsia" w:ascii="宋体" w:hAnsi="宋体" w:cs="Times New Roman"/>
                <w:b/>
              </w:rPr>
              <w:t>综合评价成绩</w:t>
            </w:r>
          </w:p>
        </w:tc>
        <w:tc>
          <w:tcPr>
            <w:tcW w:w="5812" w:type="dxa"/>
            <w:gridSpan w:val="3"/>
            <w:tcBorders>
              <w:top w:val="single" w:color="auto" w:sz="4" w:space="0"/>
              <w:left w:val="single" w:color="auto" w:sz="4" w:space="0"/>
              <w:bottom w:val="single" w:color="auto" w:sz="4" w:space="0"/>
              <w:right w:val="single" w:color="auto" w:sz="4" w:space="0"/>
            </w:tcBorders>
            <w:shd w:val="clear" w:color="auto" w:fill="auto"/>
          </w:tcPr>
          <w:p w14:paraId="48F7FFBC">
            <w:pPr>
              <w:jc w:val="center"/>
              <w:rPr>
                <w:rFonts w:ascii="宋体" w:hAnsi="宋体" w:cs="Times New Roman"/>
                <w:b/>
                <w:sz w:val="24"/>
                <w:szCs w:val="24"/>
              </w:rPr>
            </w:pPr>
            <w:r>
              <w:rPr>
                <w:rFonts w:hint="eastAsia" w:ascii="宋体" w:hAnsi="宋体" w:cs="Times New Roman"/>
                <w:b/>
                <w:sz w:val="24"/>
                <w:szCs w:val="24"/>
              </w:rPr>
              <w:t>类别</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D1AA829">
            <w:pPr>
              <w:rPr>
                <w:rFonts w:ascii="宋体" w:hAnsi="宋体" w:cs="Times New Roman"/>
                <w:b/>
                <w:sz w:val="24"/>
                <w:szCs w:val="24"/>
              </w:rPr>
            </w:pPr>
            <w:r>
              <w:rPr>
                <w:rFonts w:hint="eastAsia" w:ascii="宋体" w:hAnsi="宋体" w:cs="Times New Roman"/>
                <w:b/>
                <w:sz w:val="24"/>
                <w:szCs w:val="24"/>
              </w:rPr>
              <w:t>占比</w:t>
            </w:r>
          </w:p>
        </w:tc>
        <w:tc>
          <w:tcPr>
            <w:tcW w:w="1184" w:type="dxa"/>
            <w:tcBorders>
              <w:top w:val="single" w:color="auto" w:sz="4" w:space="0"/>
              <w:left w:val="single" w:color="auto" w:sz="4" w:space="0"/>
              <w:bottom w:val="single" w:color="auto" w:sz="4" w:space="0"/>
              <w:right w:val="single" w:color="auto" w:sz="4" w:space="0"/>
            </w:tcBorders>
            <w:shd w:val="clear" w:color="auto" w:fill="auto"/>
          </w:tcPr>
          <w:p w14:paraId="32B21712">
            <w:pPr>
              <w:rPr>
                <w:rFonts w:ascii="宋体" w:hAnsi="宋体" w:cs="Times New Roman"/>
                <w:b/>
                <w:sz w:val="24"/>
                <w:szCs w:val="24"/>
              </w:rPr>
            </w:pPr>
            <w:r>
              <w:rPr>
                <w:rFonts w:hint="eastAsia" w:ascii="宋体" w:hAnsi="宋体" w:cs="Times New Roman"/>
                <w:b/>
                <w:sz w:val="24"/>
                <w:szCs w:val="24"/>
              </w:rPr>
              <w:t>占比合计</w:t>
            </w:r>
          </w:p>
        </w:tc>
      </w:tr>
      <w:tr w14:paraId="69A7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2CD1AE85">
            <w:pPr>
              <w:rPr>
                <w:rFonts w:ascii="宋体" w:hAnsi="宋体" w:cs="Times New Roman"/>
                <w:b/>
              </w:rPr>
            </w:pPr>
          </w:p>
        </w:tc>
        <w:tc>
          <w:tcPr>
            <w:tcW w:w="2023" w:type="dxa"/>
            <w:shd w:val="clear" w:color="auto" w:fill="auto"/>
          </w:tcPr>
          <w:p w14:paraId="0320F35F">
            <w:pPr>
              <w:jc w:val="center"/>
              <w:rPr>
                <w:rFonts w:ascii="宋体" w:hAnsi="宋体" w:cs="Times New Roman"/>
                <w:b/>
              </w:rPr>
            </w:pPr>
            <w:r>
              <w:rPr>
                <w:rFonts w:hint="eastAsia" w:ascii="宋体" w:hAnsi="宋体" w:cs="Times New Roman"/>
                <w:b/>
              </w:rPr>
              <w:t>学业综合成绩</w:t>
            </w:r>
          </w:p>
        </w:tc>
        <w:tc>
          <w:tcPr>
            <w:tcW w:w="2230" w:type="dxa"/>
            <w:shd w:val="clear" w:color="auto" w:fill="auto"/>
            <w:vAlign w:val="center"/>
          </w:tcPr>
          <w:p w14:paraId="222528D4">
            <w:pPr>
              <w:jc w:val="center"/>
              <w:rPr>
                <w:rFonts w:ascii="宋体" w:hAnsi="宋体" w:cs="Times New Roman"/>
                <w:b/>
              </w:rPr>
            </w:pPr>
            <w:r>
              <w:rPr>
                <w:rFonts w:hint="eastAsia" w:ascii="宋体" w:hAnsi="宋体" w:cs="Times New Roman"/>
                <w:b/>
              </w:rPr>
              <w:t>3年必修课程成绩</w:t>
            </w:r>
          </w:p>
        </w:tc>
        <w:tc>
          <w:tcPr>
            <w:tcW w:w="1559" w:type="dxa"/>
            <w:shd w:val="clear" w:color="auto" w:fill="auto"/>
            <w:vAlign w:val="center"/>
          </w:tcPr>
          <w:p w14:paraId="069C1208">
            <w:pPr>
              <w:jc w:val="center"/>
              <w:rPr>
                <w:rFonts w:ascii="宋体" w:hAnsi="宋体" w:cs="Times New Roman"/>
                <w:b/>
              </w:rPr>
            </w:pPr>
            <w:r>
              <w:rPr>
                <w:rFonts w:hint="eastAsia" w:ascii="宋体" w:hAnsi="宋体" w:cs="Times New Roman"/>
                <w:b/>
              </w:rPr>
              <w:t>90</w:t>
            </w:r>
          </w:p>
        </w:tc>
        <w:tc>
          <w:tcPr>
            <w:tcW w:w="709" w:type="dxa"/>
            <w:shd w:val="clear" w:color="auto" w:fill="auto"/>
          </w:tcPr>
          <w:p w14:paraId="2C6C6C30">
            <w:pPr>
              <w:jc w:val="center"/>
              <w:rPr>
                <w:rFonts w:ascii="宋体" w:hAnsi="宋体" w:cs="Times New Roman"/>
                <w:b/>
              </w:rPr>
            </w:pPr>
            <w:r>
              <w:rPr>
                <w:rFonts w:hint="eastAsia" w:ascii="宋体" w:hAnsi="宋体" w:cs="Times New Roman"/>
                <w:b/>
              </w:rPr>
              <w:t>90%</w:t>
            </w:r>
          </w:p>
        </w:tc>
        <w:tc>
          <w:tcPr>
            <w:tcW w:w="1184" w:type="dxa"/>
            <w:shd w:val="clear" w:color="auto" w:fill="auto"/>
          </w:tcPr>
          <w:p w14:paraId="567F3884">
            <w:pPr>
              <w:jc w:val="center"/>
              <w:rPr>
                <w:rFonts w:ascii="宋体" w:hAnsi="宋体" w:cs="Times New Roman"/>
                <w:b/>
              </w:rPr>
            </w:pPr>
            <w:r>
              <w:rPr>
                <w:rFonts w:hint="eastAsia" w:ascii="宋体" w:hAnsi="宋体" w:cs="Times New Roman"/>
                <w:b/>
              </w:rPr>
              <w:t>90%</w:t>
            </w:r>
          </w:p>
        </w:tc>
      </w:tr>
      <w:tr w14:paraId="3BC3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6C2C7228">
            <w:pPr>
              <w:rPr>
                <w:rFonts w:ascii="宋体" w:hAnsi="宋体" w:cs="Times New Roman"/>
                <w:b/>
              </w:rPr>
            </w:pPr>
          </w:p>
        </w:tc>
        <w:tc>
          <w:tcPr>
            <w:tcW w:w="2023" w:type="dxa"/>
            <w:vMerge w:val="restart"/>
            <w:shd w:val="clear" w:color="auto" w:fill="auto"/>
          </w:tcPr>
          <w:p w14:paraId="0024600C">
            <w:pPr>
              <w:rPr>
                <w:rFonts w:ascii="宋体" w:hAnsi="宋体" w:cs="Times New Roman"/>
                <w:b/>
              </w:rPr>
            </w:pPr>
          </w:p>
          <w:p w14:paraId="0E85550C">
            <w:pPr>
              <w:jc w:val="center"/>
              <w:rPr>
                <w:rFonts w:ascii="宋体" w:hAnsi="宋体" w:cs="Times New Roman"/>
                <w:b/>
              </w:rPr>
            </w:pPr>
          </w:p>
          <w:p w14:paraId="2C1C790A">
            <w:pPr>
              <w:jc w:val="center"/>
              <w:rPr>
                <w:rFonts w:ascii="宋体" w:hAnsi="宋体" w:cs="Times New Roman"/>
                <w:b/>
              </w:rPr>
            </w:pPr>
            <w:r>
              <w:rPr>
                <w:rFonts w:hint="eastAsia" w:ascii="宋体" w:hAnsi="宋体" w:cs="Times New Roman"/>
                <w:b/>
              </w:rPr>
              <w:t>素质类综合成绩</w:t>
            </w:r>
          </w:p>
        </w:tc>
        <w:tc>
          <w:tcPr>
            <w:tcW w:w="2230" w:type="dxa"/>
            <w:shd w:val="clear" w:color="auto" w:fill="auto"/>
            <w:vAlign w:val="center"/>
          </w:tcPr>
          <w:p w14:paraId="5B5C4802">
            <w:pPr>
              <w:jc w:val="center"/>
              <w:rPr>
                <w:rFonts w:ascii="宋体" w:hAnsi="宋体" w:cs="Times New Roman"/>
                <w:b/>
              </w:rPr>
            </w:pPr>
            <w:r>
              <w:rPr>
                <w:rFonts w:hint="eastAsia" w:ascii="宋体" w:hAnsi="宋体" w:cs="Times New Roman"/>
                <w:b/>
              </w:rPr>
              <w:t>参军入伍服兵役</w:t>
            </w:r>
          </w:p>
        </w:tc>
        <w:tc>
          <w:tcPr>
            <w:tcW w:w="1559" w:type="dxa"/>
            <w:shd w:val="clear" w:color="auto" w:fill="auto"/>
            <w:vAlign w:val="center"/>
          </w:tcPr>
          <w:p w14:paraId="7E435CCC">
            <w:pPr>
              <w:jc w:val="center"/>
              <w:rPr>
                <w:rFonts w:ascii="宋体" w:hAnsi="宋体" w:cs="Times New Roman"/>
                <w:b/>
              </w:rPr>
            </w:pPr>
            <w:r>
              <w:rPr>
                <w:rFonts w:hint="eastAsia" w:ascii="宋体" w:hAnsi="宋体" w:cs="Times New Roman"/>
                <w:b/>
              </w:rPr>
              <w:t>2</w:t>
            </w:r>
          </w:p>
        </w:tc>
        <w:tc>
          <w:tcPr>
            <w:tcW w:w="709" w:type="dxa"/>
            <w:shd w:val="clear" w:color="auto" w:fill="auto"/>
          </w:tcPr>
          <w:p w14:paraId="63059308">
            <w:pPr>
              <w:jc w:val="center"/>
              <w:rPr>
                <w:rFonts w:ascii="宋体" w:hAnsi="宋体" w:cs="Times New Roman"/>
                <w:b/>
              </w:rPr>
            </w:pPr>
            <w:r>
              <w:rPr>
                <w:rFonts w:hint="eastAsia" w:ascii="宋体" w:hAnsi="宋体" w:cs="Times New Roman"/>
                <w:b/>
              </w:rPr>
              <w:t>2%</w:t>
            </w:r>
          </w:p>
        </w:tc>
        <w:tc>
          <w:tcPr>
            <w:tcW w:w="1184" w:type="dxa"/>
            <w:vMerge w:val="restart"/>
            <w:shd w:val="clear" w:color="auto" w:fill="auto"/>
          </w:tcPr>
          <w:p w14:paraId="67E68221">
            <w:pPr>
              <w:jc w:val="center"/>
              <w:rPr>
                <w:rFonts w:ascii="宋体" w:hAnsi="宋体" w:cs="Times New Roman"/>
                <w:b/>
              </w:rPr>
            </w:pPr>
          </w:p>
          <w:p w14:paraId="111B1F3B">
            <w:pPr>
              <w:jc w:val="center"/>
              <w:rPr>
                <w:rFonts w:ascii="宋体" w:hAnsi="宋体" w:cs="Times New Roman"/>
                <w:b/>
              </w:rPr>
            </w:pPr>
          </w:p>
          <w:p w14:paraId="5889DBD8">
            <w:pPr>
              <w:jc w:val="center"/>
              <w:rPr>
                <w:rFonts w:ascii="宋体" w:hAnsi="宋体" w:cs="Times New Roman"/>
                <w:b/>
              </w:rPr>
            </w:pPr>
            <w:r>
              <w:rPr>
                <w:rFonts w:hint="eastAsia" w:ascii="宋体" w:hAnsi="宋体" w:cs="Times New Roman"/>
                <w:b/>
              </w:rPr>
              <w:t>10%</w:t>
            </w:r>
          </w:p>
        </w:tc>
      </w:tr>
      <w:tr w14:paraId="62F1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640C2D7A">
            <w:pPr>
              <w:rPr>
                <w:rFonts w:ascii="宋体" w:hAnsi="宋体" w:cs="Times New Roman"/>
                <w:b/>
              </w:rPr>
            </w:pPr>
          </w:p>
        </w:tc>
        <w:tc>
          <w:tcPr>
            <w:tcW w:w="2023" w:type="dxa"/>
            <w:vMerge w:val="continue"/>
            <w:shd w:val="clear" w:color="auto" w:fill="auto"/>
          </w:tcPr>
          <w:p w14:paraId="42398EDE">
            <w:pPr>
              <w:jc w:val="center"/>
              <w:rPr>
                <w:rFonts w:ascii="宋体" w:hAnsi="宋体" w:cs="Times New Roman"/>
                <w:b/>
              </w:rPr>
            </w:pPr>
          </w:p>
        </w:tc>
        <w:tc>
          <w:tcPr>
            <w:tcW w:w="2230" w:type="dxa"/>
            <w:shd w:val="clear" w:color="auto" w:fill="auto"/>
            <w:vAlign w:val="center"/>
          </w:tcPr>
          <w:p w14:paraId="352AA38E">
            <w:pPr>
              <w:jc w:val="center"/>
              <w:rPr>
                <w:rFonts w:ascii="宋体" w:hAnsi="宋体" w:cs="Times New Roman"/>
                <w:b/>
              </w:rPr>
            </w:pPr>
            <w:r>
              <w:rPr>
                <w:rFonts w:hint="eastAsia" w:ascii="宋体" w:hAnsi="宋体" w:cs="Times New Roman"/>
                <w:b/>
              </w:rPr>
              <w:t>参加志愿服务</w:t>
            </w:r>
          </w:p>
        </w:tc>
        <w:tc>
          <w:tcPr>
            <w:tcW w:w="1559" w:type="dxa"/>
            <w:shd w:val="clear" w:color="auto" w:fill="auto"/>
            <w:vAlign w:val="center"/>
          </w:tcPr>
          <w:p w14:paraId="3FD14E4F">
            <w:pPr>
              <w:jc w:val="center"/>
              <w:rPr>
                <w:rFonts w:ascii="宋体" w:hAnsi="宋体" w:cs="Times New Roman"/>
                <w:b/>
              </w:rPr>
            </w:pPr>
            <w:r>
              <w:rPr>
                <w:rFonts w:hint="eastAsia" w:ascii="宋体" w:hAnsi="宋体" w:cs="Times New Roman"/>
                <w:b/>
              </w:rPr>
              <w:t>1</w:t>
            </w:r>
          </w:p>
        </w:tc>
        <w:tc>
          <w:tcPr>
            <w:tcW w:w="709" w:type="dxa"/>
            <w:shd w:val="clear" w:color="auto" w:fill="auto"/>
          </w:tcPr>
          <w:p w14:paraId="5BB610BA">
            <w:pPr>
              <w:jc w:val="center"/>
              <w:rPr>
                <w:rFonts w:ascii="宋体" w:hAnsi="宋体" w:cs="Times New Roman"/>
                <w:b/>
              </w:rPr>
            </w:pPr>
            <w:r>
              <w:rPr>
                <w:rFonts w:hint="eastAsia" w:ascii="宋体" w:hAnsi="宋体" w:cs="Times New Roman"/>
                <w:b/>
              </w:rPr>
              <w:t>1%</w:t>
            </w:r>
          </w:p>
        </w:tc>
        <w:tc>
          <w:tcPr>
            <w:tcW w:w="1184" w:type="dxa"/>
            <w:vMerge w:val="continue"/>
            <w:shd w:val="clear" w:color="auto" w:fill="auto"/>
          </w:tcPr>
          <w:p w14:paraId="72AC9C37">
            <w:pPr>
              <w:jc w:val="center"/>
              <w:rPr>
                <w:rFonts w:ascii="宋体" w:hAnsi="宋体" w:cs="Times New Roman"/>
                <w:b/>
              </w:rPr>
            </w:pPr>
          </w:p>
        </w:tc>
      </w:tr>
      <w:tr w14:paraId="7B28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721FC7F2">
            <w:pPr>
              <w:rPr>
                <w:rFonts w:ascii="宋体" w:hAnsi="宋体" w:cs="Times New Roman"/>
                <w:b/>
              </w:rPr>
            </w:pPr>
          </w:p>
        </w:tc>
        <w:tc>
          <w:tcPr>
            <w:tcW w:w="2023" w:type="dxa"/>
            <w:vMerge w:val="continue"/>
            <w:shd w:val="clear" w:color="auto" w:fill="auto"/>
          </w:tcPr>
          <w:p w14:paraId="4846756A">
            <w:pPr>
              <w:jc w:val="center"/>
              <w:rPr>
                <w:rFonts w:ascii="宋体" w:hAnsi="宋体" w:cs="Times New Roman"/>
                <w:b/>
              </w:rPr>
            </w:pPr>
          </w:p>
        </w:tc>
        <w:tc>
          <w:tcPr>
            <w:tcW w:w="2230" w:type="dxa"/>
            <w:shd w:val="clear" w:color="auto" w:fill="auto"/>
            <w:vAlign w:val="center"/>
          </w:tcPr>
          <w:p w14:paraId="52134FEE">
            <w:pPr>
              <w:jc w:val="center"/>
              <w:rPr>
                <w:rFonts w:ascii="宋体" w:hAnsi="宋体" w:cs="Times New Roman"/>
                <w:b/>
              </w:rPr>
            </w:pPr>
            <w:r>
              <w:rPr>
                <w:rFonts w:hint="eastAsia" w:ascii="宋体" w:hAnsi="宋体" w:cs="Times New Roman"/>
                <w:b/>
              </w:rPr>
              <w:t>到国际组织实习</w:t>
            </w:r>
          </w:p>
        </w:tc>
        <w:tc>
          <w:tcPr>
            <w:tcW w:w="1559" w:type="dxa"/>
            <w:shd w:val="clear" w:color="auto" w:fill="auto"/>
            <w:vAlign w:val="center"/>
          </w:tcPr>
          <w:p w14:paraId="49EE30EE">
            <w:pPr>
              <w:jc w:val="center"/>
              <w:rPr>
                <w:rFonts w:ascii="宋体" w:hAnsi="宋体" w:cs="Times New Roman"/>
                <w:b/>
              </w:rPr>
            </w:pPr>
            <w:r>
              <w:rPr>
                <w:rFonts w:hint="eastAsia" w:ascii="宋体" w:hAnsi="宋体" w:cs="Times New Roman"/>
                <w:b/>
              </w:rPr>
              <w:t>1</w:t>
            </w:r>
          </w:p>
        </w:tc>
        <w:tc>
          <w:tcPr>
            <w:tcW w:w="709" w:type="dxa"/>
            <w:shd w:val="clear" w:color="auto" w:fill="auto"/>
          </w:tcPr>
          <w:p w14:paraId="51D801A3">
            <w:pPr>
              <w:jc w:val="center"/>
              <w:rPr>
                <w:rFonts w:ascii="宋体" w:hAnsi="宋体" w:cs="Times New Roman"/>
                <w:b/>
              </w:rPr>
            </w:pPr>
            <w:r>
              <w:rPr>
                <w:rFonts w:hint="eastAsia" w:ascii="宋体" w:hAnsi="宋体" w:cs="Times New Roman"/>
                <w:b/>
              </w:rPr>
              <w:t>1%</w:t>
            </w:r>
          </w:p>
        </w:tc>
        <w:tc>
          <w:tcPr>
            <w:tcW w:w="1184" w:type="dxa"/>
            <w:vMerge w:val="continue"/>
            <w:shd w:val="clear" w:color="auto" w:fill="auto"/>
          </w:tcPr>
          <w:p w14:paraId="66C3A89F">
            <w:pPr>
              <w:jc w:val="center"/>
              <w:rPr>
                <w:rFonts w:ascii="宋体" w:hAnsi="宋体" w:cs="Times New Roman"/>
                <w:b/>
              </w:rPr>
            </w:pPr>
          </w:p>
        </w:tc>
      </w:tr>
      <w:tr w14:paraId="2A81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68C7ED32">
            <w:pPr>
              <w:rPr>
                <w:rFonts w:ascii="宋体" w:hAnsi="宋体" w:cs="Times New Roman"/>
                <w:b/>
              </w:rPr>
            </w:pPr>
          </w:p>
        </w:tc>
        <w:tc>
          <w:tcPr>
            <w:tcW w:w="2023" w:type="dxa"/>
            <w:vMerge w:val="continue"/>
            <w:shd w:val="clear" w:color="auto" w:fill="auto"/>
          </w:tcPr>
          <w:p w14:paraId="58E37C3E">
            <w:pPr>
              <w:jc w:val="center"/>
              <w:rPr>
                <w:rFonts w:ascii="宋体" w:hAnsi="宋体" w:cs="Times New Roman"/>
                <w:b/>
              </w:rPr>
            </w:pPr>
          </w:p>
        </w:tc>
        <w:tc>
          <w:tcPr>
            <w:tcW w:w="2230" w:type="dxa"/>
            <w:shd w:val="clear" w:color="auto" w:fill="auto"/>
            <w:vAlign w:val="center"/>
          </w:tcPr>
          <w:p w14:paraId="2A2231A3">
            <w:pPr>
              <w:jc w:val="center"/>
              <w:rPr>
                <w:rFonts w:ascii="宋体" w:hAnsi="宋体" w:cs="Times New Roman"/>
                <w:b/>
              </w:rPr>
            </w:pPr>
            <w:r>
              <w:rPr>
                <w:rFonts w:hint="eastAsia" w:ascii="宋体" w:hAnsi="宋体" w:cs="Times New Roman"/>
                <w:b/>
              </w:rPr>
              <w:t>科研成果</w:t>
            </w:r>
          </w:p>
        </w:tc>
        <w:tc>
          <w:tcPr>
            <w:tcW w:w="1559" w:type="dxa"/>
            <w:shd w:val="clear" w:color="auto" w:fill="auto"/>
            <w:vAlign w:val="center"/>
          </w:tcPr>
          <w:p w14:paraId="7CD70F41">
            <w:pPr>
              <w:jc w:val="center"/>
              <w:rPr>
                <w:rFonts w:ascii="宋体" w:hAnsi="宋体" w:cs="Times New Roman"/>
                <w:b/>
              </w:rPr>
            </w:pPr>
            <w:r>
              <w:rPr>
                <w:rFonts w:hint="eastAsia" w:ascii="宋体" w:hAnsi="宋体" w:cs="Times New Roman"/>
                <w:b/>
              </w:rPr>
              <w:t>3</w:t>
            </w:r>
          </w:p>
        </w:tc>
        <w:tc>
          <w:tcPr>
            <w:tcW w:w="709" w:type="dxa"/>
            <w:shd w:val="clear" w:color="auto" w:fill="auto"/>
          </w:tcPr>
          <w:p w14:paraId="61713708">
            <w:pPr>
              <w:jc w:val="center"/>
              <w:rPr>
                <w:rFonts w:ascii="宋体" w:hAnsi="宋体" w:cs="Times New Roman"/>
                <w:b/>
              </w:rPr>
            </w:pPr>
            <w:r>
              <w:rPr>
                <w:rFonts w:hint="eastAsia" w:ascii="宋体" w:hAnsi="宋体" w:cs="Times New Roman"/>
                <w:b/>
              </w:rPr>
              <w:t>3%</w:t>
            </w:r>
          </w:p>
        </w:tc>
        <w:tc>
          <w:tcPr>
            <w:tcW w:w="1184" w:type="dxa"/>
            <w:vMerge w:val="continue"/>
            <w:shd w:val="clear" w:color="auto" w:fill="auto"/>
          </w:tcPr>
          <w:p w14:paraId="4F5928DD">
            <w:pPr>
              <w:jc w:val="center"/>
              <w:rPr>
                <w:rFonts w:ascii="宋体" w:hAnsi="宋体" w:cs="Times New Roman"/>
                <w:b/>
              </w:rPr>
            </w:pPr>
          </w:p>
        </w:tc>
      </w:tr>
      <w:tr w14:paraId="47F3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45877883">
            <w:pPr>
              <w:rPr>
                <w:rFonts w:ascii="宋体" w:hAnsi="宋体" w:cs="Times New Roman"/>
                <w:b/>
              </w:rPr>
            </w:pPr>
          </w:p>
        </w:tc>
        <w:tc>
          <w:tcPr>
            <w:tcW w:w="2023" w:type="dxa"/>
            <w:vMerge w:val="continue"/>
            <w:shd w:val="clear" w:color="auto" w:fill="auto"/>
          </w:tcPr>
          <w:p w14:paraId="792713F3">
            <w:pPr>
              <w:jc w:val="center"/>
              <w:rPr>
                <w:rFonts w:ascii="宋体" w:hAnsi="宋体" w:cs="Times New Roman"/>
                <w:b/>
              </w:rPr>
            </w:pPr>
          </w:p>
        </w:tc>
        <w:tc>
          <w:tcPr>
            <w:tcW w:w="2230" w:type="dxa"/>
            <w:shd w:val="clear" w:color="auto" w:fill="auto"/>
            <w:vAlign w:val="center"/>
          </w:tcPr>
          <w:p w14:paraId="6B3553BA">
            <w:pPr>
              <w:jc w:val="center"/>
              <w:rPr>
                <w:rFonts w:ascii="宋体" w:hAnsi="宋体" w:cs="Times New Roman"/>
                <w:b/>
              </w:rPr>
            </w:pPr>
            <w:r>
              <w:rPr>
                <w:rFonts w:hint="eastAsia" w:ascii="宋体" w:hAnsi="宋体" w:cs="Times New Roman"/>
                <w:b/>
              </w:rPr>
              <w:t>竞赛获奖</w:t>
            </w:r>
          </w:p>
        </w:tc>
        <w:tc>
          <w:tcPr>
            <w:tcW w:w="1559" w:type="dxa"/>
            <w:shd w:val="clear" w:color="auto" w:fill="auto"/>
            <w:vAlign w:val="center"/>
          </w:tcPr>
          <w:p w14:paraId="77D9E98C">
            <w:pPr>
              <w:jc w:val="center"/>
              <w:rPr>
                <w:rFonts w:ascii="宋体" w:hAnsi="宋体" w:cs="Times New Roman"/>
                <w:b/>
              </w:rPr>
            </w:pPr>
            <w:r>
              <w:rPr>
                <w:rFonts w:hint="eastAsia" w:ascii="宋体" w:hAnsi="宋体" w:cs="Times New Roman"/>
                <w:b/>
              </w:rPr>
              <w:t>3</w:t>
            </w:r>
          </w:p>
        </w:tc>
        <w:tc>
          <w:tcPr>
            <w:tcW w:w="709" w:type="dxa"/>
            <w:shd w:val="clear" w:color="auto" w:fill="auto"/>
          </w:tcPr>
          <w:p w14:paraId="7DE19E1C">
            <w:pPr>
              <w:jc w:val="center"/>
              <w:rPr>
                <w:rFonts w:ascii="宋体" w:hAnsi="宋体" w:cs="Times New Roman"/>
                <w:b/>
              </w:rPr>
            </w:pPr>
            <w:r>
              <w:rPr>
                <w:rFonts w:hint="eastAsia" w:ascii="宋体" w:hAnsi="宋体" w:cs="Times New Roman"/>
                <w:b/>
              </w:rPr>
              <w:t>3%</w:t>
            </w:r>
          </w:p>
        </w:tc>
        <w:tc>
          <w:tcPr>
            <w:tcW w:w="1184" w:type="dxa"/>
            <w:vMerge w:val="continue"/>
            <w:shd w:val="clear" w:color="auto" w:fill="auto"/>
          </w:tcPr>
          <w:p w14:paraId="537B9AEC">
            <w:pPr>
              <w:jc w:val="center"/>
              <w:rPr>
                <w:rFonts w:ascii="宋体" w:hAnsi="宋体" w:cs="Times New Roman"/>
                <w:b/>
              </w:rPr>
            </w:pPr>
          </w:p>
        </w:tc>
      </w:tr>
      <w:tr w14:paraId="0024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629" w:type="dxa"/>
            <w:gridSpan w:val="4"/>
            <w:shd w:val="clear" w:color="auto" w:fill="auto"/>
          </w:tcPr>
          <w:p w14:paraId="565B0067">
            <w:pPr>
              <w:jc w:val="center"/>
              <w:rPr>
                <w:rFonts w:ascii="宋体" w:hAnsi="宋体" w:cs="Times New Roman"/>
                <w:b/>
              </w:rPr>
            </w:pPr>
            <w:r>
              <w:rPr>
                <w:rFonts w:hint="eastAsia" w:ascii="宋体" w:hAnsi="宋体" w:cs="Times New Roman"/>
                <w:b/>
              </w:rPr>
              <w:t>合计</w:t>
            </w:r>
          </w:p>
        </w:tc>
        <w:tc>
          <w:tcPr>
            <w:tcW w:w="709" w:type="dxa"/>
            <w:shd w:val="clear" w:color="auto" w:fill="auto"/>
          </w:tcPr>
          <w:p w14:paraId="7C2B4642">
            <w:pPr>
              <w:rPr>
                <w:rFonts w:ascii="宋体" w:hAnsi="宋体" w:cs="Times New Roman"/>
                <w:b/>
              </w:rPr>
            </w:pPr>
            <w:r>
              <w:rPr>
                <w:rFonts w:hint="eastAsia" w:ascii="宋体" w:hAnsi="宋体" w:cs="Times New Roman"/>
                <w:b/>
              </w:rPr>
              <w:t>100%</w:t>
            </w:r>
          </w:p>
        </w:tc>
        <w:tc>
          <w:tcPr>
            <w:tcW w:w="1184" w:type="dxa"/>
            <w:shd w:val="clear" w:color="auto" w:fill="auto"/>
          </w:tcPr>
          <w:p w14:paraId="23333FD3">
            <w:pPr>
              <w:jc w:val="center"/>
              <w:rPr>
                <w:rFonts w:ascii="宋体" w:hAnsi="宋体" w:cs="Times New Roman"/>
                <w:b/>
              </w:rPr>
            </w:pPr>
            <w:r>
              <w:rPr>
                <w:rFonts w:hint="eastAsia" w:ascii="宋体" w:hAnsi="宋体" w:cs="Times New Roman"/>
                <w:b/>
              </w:rPr>
              <w:t>100%</w:t>
            </w:r>
          </w:p>
        </w:tc>
      </w:tr>
    </w:tbl>
    <w:p w14:paraId="5750D391">
      <w:pPr>
        <w:ind w:firstLine="643" w:firstLineChars="200"/>
        <w:rPr>
          <w:rFonts w:ascii="仿宋" w:hAnsi="仿宋" w:eastAsia="仿宋"/>
          <w:sz w:val="32"/>
          <w:szCs w:val="32"/>
        </w:rPr>
      </w:pPr>
      <w:r>
        <w:rPr>
          <w:rFonts w:hint="eastAsia" w:ascii="楷体" w:hAnsi="楷体" w:eastAsia="楷体"/>
          <w:b/>
          <w:sz w:val="32"/>
          <w:szCs w:val="32"/>
        </w:rPr>
        <w:t>（一）学业综合成绩，满分90分</w:t>
      </w:r>
    </w:p>
    <w:p w14:paraId="6A6A099E">
      <w:pPr>
        <w:ind w:firstLine="640" w:firstLineChars="200"/>
        <w:rPr>
          <w:rFonts w:ascii="仿宋" w:hAnsi="仿宋" w:eastAsia="仿宋"/>
          <w:sz w:val="32"/>
          <w:szCs w:val="32"/>
        </w:rPr>
      </w:pPr>
      <w:r>
        <w:rPr>
          <w:rFonts w:hint="eastAsia" w:ascii="仿宋" w:hAnsi="仿宋" w:eastAsia="仿宋"/>
          <w:sz w:val="32"/>
          <w:szCs w:val="32"/>
        </w:rPr>
        <w:t>学业综合成绩使用本专业培养方案规定的前三学年必修课程平均加权学分成绩，课程成绩按各课程第一次所修成绩计算。计算公式如下：</w:t>
      </w:r>
    </w:p>
    <w:p w14:paraId="71E3B653">
      <w:pPr>
        <w:rPr>
          <w:rFonts w:ascii="仿宋" w:hAnsi="仿宋" w:eastAsia="仿宋"/>
          <w:sz w:val="32"/>
          <w:szCs w:val="32"/>
        </w:rPr>
      </w:pPr>
      <w:r>
        <w:rPr>
          <w:rFonts w:hint="eastAsia" w:ascii="仿宋" w:hAnsi="仿宋" w:eastAsia="仿宋"/>
          <w:sz w:val="32"/>
          <w:szCs w:val="32"/>
        </w:rPr>
        <w:t xml:space="preserve">               </w:t>
      </w:r>
      <m:oMath>
        <m:f>
          <m:fPr>
            <m:type m:val="lin"/>
            <m:ctrlPr>
              <w:rPr>
                <w:rFonts w:ascii="Cambria Math" w:hAnsi="Cambria Math" w:eastAsia="仿宋"/>
                <w:i/>
                <w:sz w:val="32"/>
                <w:szCs w:val="32"/>
              </w:rPr>
            </m:ctrlPr>
          </m:fPr>
          <m:num>
            <m:nary>
              <m:naryPr>
                <m:chr m:val="∑"/>
                <m:limLoc m:val="undOvr"/>
                <m:supHide m:val="1"/>
                <m:ctrlPr>
                  <w:rPr>
                    <w:rFonts w:ascii="Cambria Math" w:hAnsi="Cambria Math" w:eastAsia="仿宋"/>
                    <w:i/>
                    <w:sz w:val="32"/>
                    <w:szCs w:val="32"/>
                  </w:rPr>
                </m:ctrlPr>
              </m:naryPr>
              <m:sub>
                <m:r>
                  <m:rPr/>
                  <w:rPr>
                    <w:rFonts w:ascii="Cambria Math" w:hAnsi="Cambria Math" w:eastAsia="仿宋"/>
                    <w:sz w:val="32"/>
                    <w:szCs w:val="32"/>
                  </w:rPr>
                  <m:t>i</m:t>
                </m:r>
                <m:ctrlPr>
                  <w:rPr>
                    <w:rFonts w:ascii="Cambria Math" w:hAnsi="Cambria Math"/>
                    <w:sz w:val="32"/>
                    <w:szCs w:val="32"/>
                  </w:rPr>
                </m:ctrlPr>
              </m:sub>
              <m:sup>
                <m:ctrlPr>
                  <w:rPr>
                    <w:rFonts w:ascii="Cambria Math" w:hAnsi="Cambria Math"/>
                    <w:sz w:val="32"/>
                    <w:szCs w:val="32"/>
                  </w:rPr>
                </m:ctrlPr>
              </m:sup>
              <m:e>
                <m:r>
                  <m:rPr>
                    <m:nor/>
                    <m:sty m:val="p"/>
                  </m:rPr>
                  <w:rPr>
                    <w:rFonts w:hint="eastAsia" w:ascii="仿宋" w:hAnsi="仿宋" w:eastAsia="仿宋"/>
                    <w:sz w:val="32"/>
                    <w:szCs w:val="32"/>
                  </w:rPr>
                  <m:t>课程成绩</m:t>
                </m:r>
                <m:r>
                  <m:rPr/>
                  <w:rPr>
                    <w:rFonts w:ascii="Cambria Math" w:hAnsi="Cambria Math" w:eastAsia="仿宋"/>
                    <w:sz w:val="32"/>
                    <w:szCs w:val="32"/>
                  </w:rPr>
                  <m:t>i</m:t>
                </m:r>
                <m:ctrlPr>
                  <w:rPr>
                    <w:rFonts w:ascii="Cambria Math" w:hAnsi="Cambria Math"/>
                    <w:sz w:val="32"/>
                    <w:szCs w:val="32"/>
                  </w:rPr>
                </m:ctrlPr>
              </m:e>
            </m:nary>
            <m:r>
              <m:rPr/>
              <w:rPr>
                <w:rFonts w:ascii="Cambria Math" w:hAnsi="Cambria Math" w:eastAsia="仿宋"/>
                <w:sz w:val="32"/>
                <w:szCs w:val="32"/>
              </w:rPr>
              <m:t>∗</m:t>
            </m:r>
            <m:r>
              <m:rPr>
                <m:nor/>
                <m:sty m:val="p"/>
              </m:rPr>
              <w:rPr>
                <w:rFonts w:hint="eastAsia" w:ascii="仿宋" w:hAnsi="仿宋" w:eastAsia="仿宋"/>
                <w:sz w:val="32"/>
                <w:szCs w:val="32"/>
              </w:rPr>
              <m:t>学分</m:t>
            </m:r>
            <m:r>
              <m:rPr/>
              <w:rPr>
                <w:rFonts w:ascii="Cambria Math" w:hAnsi="Cambria Math" w:eastAsia="仿宋"/>
                <w:sz w:val="32"/>
                <w:szCs w:val="32"/>
              </w:rPr>
              <m:t>i</m:t>
            </m:r>
            <m:ctrlPr>
              <w:rPr>
                <w:rFonts w:ascii="Cambria Math" w:hAnsi="Cambria Math" w:eastAsia="仿宋"/>
                <w:i/>
                <w:sz w:val="32"/>
                <w:szCs w:val="32"/>
              </w:rPr>
            </m:ctrlPr>
          </m:num>
          <m:den>
            <m:nary>
              <m:naryPr>
                <m:chr m:val="∑"/>
                <m:limLoc m:val="undOvr"/>
                <m:supHide m:val="1"/>
                <m:ctrlPr>
                  <w:rPr>
                    <w:rFonts w:ascii="Cambria Math" w:hAnsi="Cambria Math" w:eastAsia="仿宋"/>
                    <w:i/>
                    <w:sz w:val="32"/>
                    <w:szCs w:val="32"/>
                  </w:rPr>
                </m:ctrlPr>
              </m:naryPr>
              <m:sub>
                <m:r>
                  <m:rPr/>
                  <w:rPr>
                    <w:rFonts w:ascii="Cambria Math" w:hAnsi="Cambria Math" w:eastAsia="仿宋"/>
                    <w:sz w:val="32"/>
                    <w:szCs w:val="32"/>
                  </w:rPr>
                  <m:t>i</m:t>
                </m:r>
                <m:ctrlPr>
                  <w:rPr>
                    <w:rFonts w:ascii="Cambria Math" w:hAnsi="Cambria Math"/>
                    <w:sz w:val="32"/>
                    <w:szCs w:val="32"/>
                  </w:rPr>
                </m:ctrlPr>
              </m:sub>
              <m:sup>
                <m:ctrlPr>
                  <w:rPr>
                    <w:rFonts w:ascii="Cambria Math" w:hAnsi="Cambria Math"/>
                    <w:sz w:val="32"/>
                    <w:szCs w:val="32"/>
                  </w:rPr>
                </m:ctrlPr>
              </m:sup>
              <m:e>
                <m:r>
                  <m:rPr>
                    <m:nor/>
                    <m:sty m:val="p"/>
                  </m:rPr>
                  <w:rPr>
                    <w:rFonts w:hint="eastAsia" w:ascii="仿宋" w:hAnsi="仿宋" w:eastAsia="仿宋"/>
                    <w:sz w:val="32"/>
                    <w:szCs w:val="32"/>
                  </w:rPr>
                  <m:t>学分</m:t>
                </m:r>
                <m:ctrlPr>
                  <w:rPr>
                    <w:rFonts w:ascii="Cambria Math" w:hAnsi="Cambria Math"/>
                    <w:sz w:val="32"/>
                    <w:szCs w:val="32"/>
                  </w:rPr>
                </m:ctrlPr>
              </m:e>
            </m:nary>
            <m:ctrlPr>
              <w:rPr>
                <w:rFonts w:ascii="Cambria Math" w:hAnsi="Cambria Math" w:eastAsia="仿宋"/>
                <w:i/>
                <w:sz w:val="32"/>
                <w:szCs w:val="32"/>
              </w:rPr>
            </m:ctrlPr>
          </m:den>
        </m:f>
        <m:r>
          <m:rPr/>
          <w:rPr>
            <w:rFonts w:ascii="Cambria Math" w:hAnsi="Cambria Math" w:eastAsia="仿宋"/>
            <w:sz w:val="32"/>
            <w:szCs w:val="32"/>
          </w:rPr>
          <m:t>i</m:t>
        </m:r>
      </m:oMath>
    </w:p>
    <w:p w14:paraId="7DA286D0">
      <w:pPr>
        <w:ind w:firstLine="643" w:firstLineChars="200"/>
        <w:rPr>
          <w:rFonts w:ascii="仿宋" w:hAnsi="仿宋" w:eastAsia="仿宋"/>
          <w:sz w:val="32"/>
          <w:szCs w:val="32"/>
        </w:rPr>
      </w:pPr>
      <w:r>
        <w:rPr>
          <w:rFonts w:hint="eastAsia" w:ascii="楷体" w:hAnsi="楷体" w:eastAsia="楷体"/>
          <w:b/>
          <w:sz w:val="32"/>
          <w:szCs w:val="32"/>
        </w:rPr>
        <w:t>（二）素质类综合成绩，满分10分</w:t>
      </w:r>
    </w:p>
    <w:p w14:paraId="480D760E">
      <w:pPr>
        <w:ind w:firstLine="640" w:firstLineChars="200"/>
        <w:rPr>
          <w:rFonts w:ascii="仿宋" w:hAnsi="仿宋" w:eastAsia="仿宋"/>
          <w:sz w:val="32"/>
          <w:szCs w:val="32"/>
        </w:rPr>
      </w:pPr>
      <w:r>
        <w:rPr>
          <w:rFonts w:hint="eastAsia" w:ascii="仿宋" w:hAnsi="仿宋" w:eastAsia="仿宋"/>
          <w:sz w:val="32"/>
          <w:szCs w:val="32"/>
        </w:rPr>
        <w:t>1.本科在读期间积极参军入伍，服兵役期满者加2分。</w:t>
      </w:r>
    </w:p>
    <w:p w14:paraId="44C2FD3A">
      <w:pPr>
        <w:ind w:firstLine="640" w:firstLineChars="200"/>
        <w:rPr>
          <w:rFonts w:ascii="仿宋" w:hAnsi="仿宋" w:eastAsia="仿宋"/>
          <w:sz w:val="32"/>
          <w:szCs w:val="32"/>
        </w:rPr>
      </w:pPr>
      <w:r>
        <w:rPr>
          <w:rFonts w:hint="eastAsia" w:ascii="仿宋" w:hAnsi="仿宋" w:eastAsia="仿宋"/>
          <w:sz w:val="32"/>
          <w:szCs w:val="32"/>
        </w:rPr>
        <w:t>2.参加中国志愿服务网公布的全国性志愿服务项目者加1分，仅限1项。</w:t>
      </w:r>
    </w:p>
    <w:p w14:paraId="3C67CC26">
      <w:pPr>
        <w:ind w:left="638" w:leftChars="304"/>
        <w:rPr>
          <w:rFonts w:ascii="仿宋" w:hAnsi="仿宋" w:eastAsia="仿宋"/>
          <w:sz w:val="32"/>
          <w:szCs w:val="32"/>
        </w:rPr>
      </w:pPr>
      <w:r>
        <w:rPr>
          <w:rFonts w:hint="eastAsia" w:ascii="仿宋" w:hAnsi="仿宋" w:eastAsia="仿宋"/>
          <w:sz w:val="32"/>
          <w:szCs w:val="32"/>
        </w:rPr>
        <w:t>3.到国际组织实习并取得相应证书者加1分，仅限1项。4.学术论文</w:t>
      </w:r>
    </w:p>
    <w:p w14:paraId="0E6CFF0D">
      <w:pPr>
        <w:ind w:left="638" w:leftChars="304"/>
        <w:rPr>
          <w:rFonts w:ascii="仿宋" w:hAnsi="仿宋" w:eastAsia="仿宋"/>
          <w:sz w:val="32"/>
          <w:szCs w:val="32"/>
        </w:rPr>
      </w:pPr>
      <w:r>
        <w:rPr>
          <w:rFonts w:hint="eastAsia" w:ascii="仿宋" w:hAnsi="仿宋" w:eastAsia="仿宋"/>
          <w:sz w:val="32"/>
          <w:szCs w:val="32"/>
        </w:rPr>
        <w:t>学生发表CSSCI 来源期刊者：2分/篇；中文核心期刊：1分/篇。</w:t>
      </w:r>
    </w:p>
    <w:p w14:paraId="711AEB8E">
      <w:pPr>
        <w:widowControl/>
        <w:ind w:firstLine="640" w:firstLineChars="200"/>
        <w:jc w:val="left"/>
        <w:rPr>
          <w:rFonts w:hint="eastAsia" w:ascii="仿宋" w:hAnsi="仿宋" w:eastAsia="仿宋"/>
          <w:sz w:val="32"/>
          <w:szCs w:val="32"/>
        </w:rPr>
      </w:pPr>
      <w:r>
        <w:rPr>
          <w:rFonts w:hint="eastAsia" w:ascii="仿宋" w:hAnsi="仿宋" w:eastAsia="仿宋"/>
          <w:sz w:val="32"/>
          <w:szCs w:val="32"/>
        </w:rPr>
        <w:t>注：（1）论文加分上限为3分，超过3分后不再加分。</w:t>
      </w:r>
    </w:p>
    <w:p w14:paraId="56751835">
      <w:pPr>
        <w:widowControl/>
        <w:ind w:firstLine="640" w:firstLineChars="200"/>
        <w:jc w:val="left"/>
        <w:rPr>
          <w:rFonts w:hint="eastAsia" w:ascii="仿宋" w:hAnsi="仿宋" w:eastAsia="仿宋"/>
          <w:sz w:val="32"/>
          <w:szCs w:val="32"/>
        </w:rPr>
      </w:pPr>
      <w:r>
        <w:rPr>
          <w:rFonts w:hint="eastAsia" w:ascii="仿宋" w:hAnsi="仿宋" w:eastAsia="仿宋"/>
          <w:sz w:val="32"/>
          <w:szCs w:val="32"/>
        </w:rPr>
        <w:t>（2）原则上仅限学生本科阶段在中文核心及以上  期刊，以独立作者或第一作者发表的马克思主义理论学科论文（核心期刊以论文发表当年公布的北大中文核心期刊目录和南大核心期刊目录为准）。</w:t>
      </w:r>
    </w:p>
    <w:p w14:paraId="32794C62">
      <w:pPr>
        <w:widowControl/>
        <w:ind w:firstLine="640" w:firstLineChars="200"/>
        <w:jc w:val="left"/>
        <w:rPr>
          <w:rFonts w:ascii="仿宋" w:hAnsi="仿宋" w:eastAsia="仿宋"/>
          <w:sz w:val="32"/>
          <w:szCs w:val="32"/>
        </w:rPr>
      </w:pPr>
      <w:r>
        <w:rPr>
          <w:rFonts w:hint="eastAsia" w:ascii="仿宋" w:hAnsi="仿宋" w:eastAsia="仿宋"/>
          <w:sz w:val="32"/>
          <w:szCs w:val="32"/>
        </w:rPr>
        <w:t>（3）学生与学历、职称、职务明显高于本人者合作其署名第一作者在核心及以上期刊发表的与学业相关的科研论文，按同级别科研成果赋分的80%计算。</w:t>
      </w:r>
    </w:p>
    <w:p w14:paraId="172A37E3">
      <w:pPr>
        <w:ind w:firstLine="640" w:firstLineChars="200"/>
        <w:rPr>
          <w:rFonts w:ascii="仿宋" w:hAnsi="仿宋" w:eastAsia="仿宋"/>
          <w:sz w:val="32"/>
          <w:szCs w:val="32"/>
        </w:rPr>
      </w:pPr>
      <w:r>
        <w:rPr>
          <w:rFonts w:hint="eastAsia" w:ascii="仿宋" w:hAnsi="仿宋" w:eastAsia="仿宋"/>
          <w:sz w:val="32"/>
          <w:szCs w:val="32"/>
        </w:rPr>
        <w:t>5.高水平学科竞赛</w:t>
      </w:r>
    </w:p>
    <w:p w14:paraId="0A36CC4A">
      <w:pPr>
        <w:widowControl/>
        <w:ind w:firstLine="640" w:firstLineChars="200"/>
        <w:jc w:val="left"/>
        <w:rPr>
          <w:rFonts w:hint="eastAsia" w:ascii="仿宋" w:hAnsi="仿宋" w:eastAsia="仿宋"/>
          <w:sz w:val="32"/>
          <w:szCs w:val="32"/>
        </w:rPr>
      </w:pPr>
      <w:r>
        <w:rPr>
          <w:rFonts w:ascii="仿宋" w:hAnsi="仿宋" w:eastAsia="仿宋"/>
          <w:sz w:val="32"/>
          <w:szCs w:val="32"/>
        </w:rPr>
        <w:t>参加与学科相关的国家级高水平竞赛</w:t>
      </w:r>
      <w:r>
        <w:rPr>
          <w:rFonts w:hint="eastAsia" w:ascii="仿宋" w:hAnsi="仿宋" w:eastAsia="仿宋"/>
          <w:sz w:val="32"/>
          <w:szCs w:val="32"/>
        </w:rPr>
        <w:t>单独获奖或者项目主持人：一等奖 3分/项，</w:t>
      </w:r>
      <w:r>
        <w:rPr>
          <w:rFonts w:ascii="仿宋" w:hAnsi="仿宋" w:eastAsia="仿宋"/>
          <w:sz w:val="32"/>
          <w:szCs w:val="32"/>
        </w:rPr>
        <w:t>二等奖</w:t>
      </w:r>
      <w:r>
        <w:rPr>
          <w:rFonts w:hint="eastAsia" w:ascii="仿宋" w:hAnsi="仿宋" w:eastAsia="仿宋"/>
          <w:sz w:val="32"/>
          <w:szCs w:val="32"/>
        </w:rPr>
        <w:t xml:space="preserve"> </w:t>
      </w:r>
      <w:r>
        <w:rPr>
          <w:rFonts w:ascii="仿宋" w:hAnsi="仿宋" w:eastAsia="仿宋"/>
          <w:sz w:val="32"/>
          <w:szCs w:val="32"/>
        </w:rPr>
        <w:t>2分</w:t>
      </w:r>
      <w:r>
        <w:rPr>
          <w:rFonts w:hint="eastAsia" w:ascii="仿宋" w:hAnsi="仿宋" w:eastAsia="仿宋"/>
          <w:sz w:val="32"/>
          <w:szCs w:val="32"/>
        </w:rPr>
        <w:t>/项，</w:t>
      </w:r>
      <w:r>
        <w:rPr>
          <w:rFonts w:ascii="仿宋" w:hAnsi="仿宋" w:eastAsia="仿宋"/>
          <w:sz w:val="32"/>
          <w:szCs w:val="32"/>
        </w:rPr>
        <w:t>三等奖</w:t>
      </w:r>
      <w:r>
        <w:rPr>
          <w:rFonts w:hint="eastAsia" w:ascii="仿宋" w:hAnsi="仿宋" w:eastAsia="仿宋"/>
          <w:sz w:val="32"/>
          <w:szCs w:val="32"/>
        </w:rPr>
        <w:t xml:space="preserve"> </w:t>
      </w:r>
      <w:r>
        <w:rPr>
          <w:rFonts w:ascii="仿宋" w:hAnsi="仿宋" w:eastAsia="仿宋"/>
          <w:sz w:val="32"/>
          <w:szCs w:val="32"/>
        </w:rPr>
        <w:t>1分</w:t>
      </w:r>
      <w:r>
        <w:rPr>
          <w:rFonts w:hint="eastAsia" w:ascii="仿宋" w:hAnsi="仿宋" w:eastAsia="仿宋"/>
          <w:sz w:val="32"/>
          <w:szCs w:val="32"/>
        </w:rPr>
        <w:t>/项；第一参与人按上述分值的50%计算，第二参与人按上述分值的40%计算，第三及其后参与人按上述分值的30%计算，第四参与人按上述分值的20%计算，第五参与人按上述分值的10%计算，第五及以后参与人不再加分。</w:t>
      </w:r>
    </w:p>
    <w:p w14:paraId="6CEEE303">
      <w:pPr>
        <w:widowControl/>
        <w:ind w:firstLine="640" w:firstLineChars="200"/>
        <w:jc w:val="left"/>
        <w:rPr>
          <w:rFonts w:ascii="仿宋" w:hAnsi="仿宋" w:eastAsia="仿宋"/>
          <w:sz w:val="32"/>
          <w:szCs w:val="32"/>
        </w:rPr>
      </w:pPr>
      <w:r>
        <w:rPr>
          <w:rFonts w:hint="eastAsia" w:ascii="仿宋" w:hAnsi="仿宋" w:eastAsia="仿宋"/>
          <w:sz w:val="32"/>
          <w:szCs w:val="32"/>
        </w:rPr>
        <w:t>注：（1）学科竞赛上限3分，超过3分后不再加分。</w:t>
      </w:r>
    </w:p>
    <w:p w14:paraId="2387DC35">
      <w:pPr>
        <w:widowControl/>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国家级高水平竞赛以中国高等教育学会认定并发布的竞赛名单为准（国际赛事参照执行，但不得低于国内赛事相关要求）</w:t>
      </w:r>
      <w:r>
        <w:rPr>
          <w:rFonts w:hint="eastAsia" w:ascii="仿宋" w:hAnsi="仿宋" w:eastAsia="仿宋"/>
          <w:sz w:val="32"/>
          <w:szCs w:val="32"/>
        </w:rPr>
        <w:t>，且须为</w:t>
      </w:r>
      <w:r>
        <w:rPr>
          <w:rFonts w:ascii="仿宋" w:hAnsi="仿宋" w:eastAsia="仿宋"/>
          <w:sz w:val="32"/>
          <w:szCs w:val="32"/>
        </w:rPr>
        <w:t>三等奖及以上的奖励等次</w:t>
      </w:r>
      <w:r>
        <w:rPr>
          <w:rFonts w:hint="eastAsia" w:ascii="仿宋" w:hAnsi="仿宋" w:eastAsia="仿宋"/>
          <w:sz w:val="32"/>
          <w:szCs w:val="32"/>
        </w:rPr>
        <w:t>。</w:t>
      </w:r>
    </w:p>
    <w:p w14:paraId="76F8644B">
      <w:pPr>
        <w:ind w:firstLine="640" w:firstLineChars="200"/>
        <w:rPr>
          <w:rFonts w:ascii="仿宋" w:hAnsi="仿宋" w:eastAsia="仿宋"/>
          <w:sz w:val="32"/>
          <w:szCs w:val="32"/>
        </w:rPr>
      </w:pPr>
      <w:r>
        <w:rPr>
          <w:rFonts w:hint="eastAsia" w:ascii="仿宋" w:hAnsi="仿宋" w:eastAsia="仿宋"/>
          <w:sz w:val="32"/>
          <w:szCs w:val="32"/>
        </w:rPr>
        <w:t>（3）学生与直系亲属合作的科研成果、竞赛奖项等不纳入学生本人推免遴选综合评价成绩计算体系。</w:t>
      </w:r>
    </w:p>
    <w:p w14:paraId="2D82991F">
      <w:pPr>
        <w:ind w:firstLine="640" w:firstLineChars="200"/>
        <w:rPr>
          <w:rFonts w:ascii="仿宋" w:hAnsi="仿宋" w:eastAsia="仿宋"/>
          <w:sz w:val="32"/>
          <w:szCs w:val="32"/>
        </w:rPr>
      </w:pPr>
      <w:r>
        <w:rPr>
          <w:rFonts w:hint="eastAsia" w:ascii="黑体" w:hAnsi="黑体" w:eastAsia="黑体"/>
          <w:sz w:val="32"/>
          <w:szCs w:val="32"/>
        </w:rPr>
        <w:t>五、附则</w:t>
      </w:r>
    </w:p>
    <w:p w14:paraId="6310BF44">
      <w:pPr>
        <w:ind w:firstLine="640" w:firstLineChars="200"/>
        <w:rPr>
          <w:rFonts w:ascii="仿宋" w:hAnsi="仿宋" w:eastAsia="仿宋"/>
          <w:sz w:val="32"/>
          <w:szCs w:val="32"/>
        </w:rPr>
      </w:pPr>
      <w:r>
        <w:rPr>
          <w:rFonts w:hint="eastAsia" w:ascii="仿宋" w:hAnsi="仿宋" w:eastAsia="仿宋"/>
          <w:sz w:val="32"/>
          <w:szCs w:val="32"/>
        </w:rPr>
        <w:t>1.本《细则》报教务处备案并公示，未尽事宜，根据《河南师范大学推荐优秀应届本科毕业生免试攻读硕士学位研究生管理办法（修订）》（师大教〔2024〕2号）处理。</w:t>
      </w:r>
    </w:p>
    <w:p w14:paraId="6B9000FB">
      <w:pPr>
        <w:ind w:firstLine="640" w:firstLineChars="200"/>
        <w:rPr>
          <w:rFonts w:ascii="仿宋" w:hAnsi="仿宋" w:eastAsia="仿宋"/>
          <w:sz w:val="32"/>
          <w:szCs w:val="32"/>
        </w:rPr>
      </w:pPr>
      <w:r>
        <w:rPr>
          <w:rFonts w:hint="eastAsia" w:ascii="仿宋" w:hAnsi="仿宋" w:eastAsia="仿宋"/>
          <w:sz w:val="32"/>
          <w:szCs w:val="32"/>
        </w:rPr>
        <w:t>2.本细则自公布之日起执行，由学院推免生遴选工作小组负责解释。</w:t>
      </w:r>
    </w:p>
    <w:p w14:paraId="2023B096">
      <w:pPr>
        <w:ind w:firstLine="640" w:firstLineChars="200"/>
        <w:rPr>
          <w:rFonts w:ascii="仿宋" w:hAnsi="仿宋" w:eastAsia="仿宋"/>
          <w:sz w:val="32"/>
          <w:szCs w:val="32"/>
        </w:rPr>
      </w:pPr>
      <w:r>
        <w:rPr>
          <w:rFonts w:hint="eastAsia" w:ascii="仿宋" w:hAnsi="仿宋" w:eastAsia="仿宋"/>
          <w:sz w:val="32"/>
          <w:szCs w:val="32"/>
        </w:rPr>
        <w:t xml:space="preserve">3.监督电话：3326921  </w:t>
      </w:r>
    </w:p>
    <w:p w14:paraId="45944468">
      <w:pPr>
        <w:rPr>
          <w:rFonts w:hint="eastAsia" w:ascii="仿宋" w:hAnsi="仿宋" w:eastAsia="仿宋"/>
          <w:sz w:val="32"/>
          <w:szCs w:val="32"/>
        </w:rPr>
      </w:pPr>
    </w:p>
    <w:p w14:paraId="4168F786">
      <w:pPr>
        <w:rPr>
          <w:rFonts w:ascii="仿宋" w:hAnsi="仿宋" w:eastAsia="仿宋"/>
          <w:sz w:val="32"/>
          <w:szCs w:val="32"/>
        </w:rPr>
      </w:pPr>
    </w:p>
    <w:p w14:paraId="68CDBE84">
      <w:pPr>
        <w:jc w:val="right"/>
        <w:rPr>
          <w:rFonts w:ascii="仿宋" w:hAnsi="仿宋" w:eastAsia="仿宋"/>
          <w:sz w:val="32"/>
          <w:szCs w:val="32"/>
        </w:rPr>
      </w:pPr>
      <w:r>
        <w:rPr>
          <w:rFonts w:hint="eastAsia" w:ascii="仿宋" w:hAnsi="仿宋" w:eastAsia="仿宋"/>
          <w:sz w:val="32"/>
          <w:szCs w:val="32"/>
        </w:rPr>
        <w:t>马克思主义学院</w:t>
      </w:r>
    </w:p>
    <w:p w14:paraId="2A4B4B73">
      <w:pPr>
        <w:jc w:val="right"/>
        <w:rPr>
          <w:rFonts w:ascii="仿宋" w:hAnsi="仿宋" w:eastAsia="仿宋"/>
          <w:sz w:val="32"/>
          <w:szCs w:val="32"/>
        </w:rPr>
      </w:pPr>
      <w:r>
        <w:rPr>
          <w:rFonts w:hint="eastAsia" w:ascii="仿宋" w:hAnsi="仿宋" w:eastAsia="仿宋"/>
          <w:sz w:val="32"/>
          <w:szCs w:val="32"/>
        </w:rPr>
        <w:t>2025年9月1日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GI5YjQyZTQ2YzY1NjUyMTdkNDk5MDE0OTM2NjIifQ=="/>
  </w:docVars>
  <w:rsids>
    <w:rsidRoot w:val="009E3272"/>
    <w:rsid w:val="00021217"/>
    <w:rsid w:val="00057E1C"/>
    <w:rsid w:val="000D77AE"/>
    <w:rsid w:val="001076EC"/>
    <w:rsid w:val="001733E2"/>
    <w:rsid w:val="001D125C"/>
    <w:rsid w:val="00202716"/>
    <w:rsid w:val="00234112"/>
    <w:rsid w:val="002C6F91"/>
    <w:rsid w:val="0030795E"/>
    <w:rsid w:val="00366575"/>
    <w:rsid w:val="00392CED"/>
    <w:rsid w:val="003A4DCD"/>
    <w:rsid w:val="003A4DD7"/>
    <w:rsid w:val="003F137E"/>
    <w:rsid w:val="00452B5E"/>
    <w:rsid w:val="00453581"/>
    <w:rsid w:val="004D1C10"/>
    <w:rsid w:val="004F7966"/>
    <w:rsid w:val="005276F3"/>
    <w:rsid w:val="00595CDE"/>
    <w:rsid w:val="00607F55"/>
    <w:rsid w:val="00613426"/>
    <w:rsid w:val="00662E59"/>
    <w:rsid w:val="00670D50"/>
    <w:rsid w:val="0067515F"/>
    <w:rsid w:val="006802BB"/>
    <w:rsid w:val="00681DC8"/>
    <w:rsid w:val="006C7C08"/>
    <w:rsid w:val="006D7D22"/>
    <w:rsid w:val="006E35B6"/>
    <w:rsid w:val="006E5397"/>
    <w:rsid w:val="006F556F"/>
    <w:rsid w:val="00722A06"/>
    <w:rsid w:val="00734BDD"/>
    <w:rsid w:val="00764AAF"/>
    <w:rsid w:val="00785DD0"/>
    <w:rsid w:val="007A54A8"/>
    <w:rsid w:val="007B35FD"/>
    <w:rsid w:val="007C26D6"/>
    <w:rsid w:val="007D7002"/>
    <w:rsid w:val="00801CED"/>
    <w:rsid w:val="00855D85"/>
    <w:rsid w:val="00912FF7"/>
    <w:rsid w:val="00925F08"/>
    <w:rsid w:val="009A3DEB"/>
    <w:rsid w:val="009E3272"/>
    <w:rsid w:val="009F12AC"/>
    <w:rsid w:val="00A52D59"/>
    <w:rsid w:val="00A54604"/>
    <w:rsid w:val="00A56E21"/>
    <w:rsid w:val="00A64D52"/>
    <w:rsid w:val="00A7483E"/>
    <w:rsid w:val="00A97389"/>
    <w:rsid w:val="00B0227B"/>
    <w:rsid w:val="00B11C0C"/>
    <w:rsid w:val="00B632BC"/>
    <w:rsid w:val="00B64ABC"/>
    <w:rsid w:val="00BC4917"/>
    <w:rsid w:val="00BF510B"/>
    <w:rsid w:val="00C2011B"/>
    <w:rsid w:val="00C521F7"/>
    <w:rsid w:val="00C82EDB"/>
    <w:rsid w:val="00CC7388"/>
    <w:rsid w:val="00D014CF"/>
    <w:rsid w:val="00D128C5"/>
    <w:rsid w:val="00D4781D"/>
    <w:rsid w:val="00D928A5"/>
    <w:rsid w:val="00D93EF8"/>
    <w:rsid w:val="00D947D4"/>
    <w:rsid w:val="00E61368"/>
    <w:rsid w:val="00E936E6"/>
    <w:rsid w:val="00EE01A6"/>
    <w:rsid w:val="00EF2729"/>
    <w:rsid w:val="00F42DB0"/>
    <w:rsid w:val="00FF0EE5"/>
    <w:rsid w:val="0F816F65"/>
    <w:rsid w:val="11647654"/>
    <w:rsid w:val="15C31089"/>
    <w:rsid w:val="170F0DAB"/>
    <w:rsid w:val="23233C4A"/>
    <w:rsid w:val="2A5F7FFA"/>
    <w:rsid w:val="2DAD5813"/>
    <w:rsid w:val="3ABB64E1"/>
    <w:rsid w:val="5F18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qFormat/>
    <w:uiPriority w:val="0"/>
    <w:rPr>
      <w:rFonts w:ascii="Calibri" w:hAnsi="Calibri" w:cs="宋体"/>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2180</Words>
  <Characters>2277</Characters>
  <Lines>22</Lines>
  <Paragraphs>6</Paragraphs>
  <TotalTime>7</TotalTime>
  <ScaleCrop>false</ScaleCrop>
  <LinksUpToDate>false</LinksUpToDate>
  <CharactersWithSpaces>2295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2025-09-01T01:01:00Z</dcterms:created>
  <dc:creator>admin</dc:creator>
  <cp:lastModifiedBy>扬</cp:lastModifiedBy>
  <dcterms:modified xsi:type="dcterms:W3CDTF">2025-09-04T12:35:09Z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297A96B9A0464027BC5DEE64C691FD23_13</vt:lpwstr>
  </property>
  <property fmtid="{D5CDD505-2E9C-101B-9397-08002B2CF9AE}" pid="3" name="KSOProductBuildVer">
    <vt:lpwstr>2052-12.1.0.22529</vt:lpwstr>
  </property>
  <property fmtid="{D5CDD505-2E9C-101B-9397-08002B2CF9AE}" pid="4" name="KSOTemplateDocerSaveRecord">
    <vt:lpwstr>eyJoZGlkIjoiNTc1YjYyOGI3NTM2YmRiYmFiNjgzOGU2MWIxNWRlOWMiLCJ1c2VySWQiOiI1MjE3NzA0MzIifQ==</vt:lpwstr>
  </property>
</Properties>
</file>