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EE48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after="12" w:line="360" w:lineRule="auto"/>
        <w:textAlignment w:val="auto"/>
        <w:rPr>
          <w:rFonts w:hint="eastAsia" w:ascii="方正小标宋简体" w:cs="方正小标宋简体"/>
        </w:rPr>
      </w:pPr>
      <w:r>
        <w:rPr>
          <w:rFonts w:hint="eastAsia" w:ascii="方正小标宋简体" w:cs="方正小标宋简体"/>
        </w:rPr>
        <w:t>河南</w:t>
      </w:r>
      <w:r>
        <w:rPr>
          <w:rFonts w:hint="eastAsia" w:ascii="方正小标宋简体" w:cs="方正小标宋简体"/>
          <w:lang w:val="en-US" w:eastAsia="zh-CN"/>
        </w:rPr>
        <w:t>师范</w:t>
      </w:r>
      <w:r>
        <w:rPr>
          <w:rFonts w:hint="eastAsia" w:ascii="方正小标宋简体" w:cs="方正小标宋简体"/>
        </w:rPr>
        <w:t>大学</w:t>
      </w:r>
      <w:r>
        <w:rPr>
          <w:rFonts w:hint="eastAsia" w:ascii="方正小标宋简体" w:cs="方正小标宋简体"/>
          <w:lang w:val="en-US" w:eastAsia="zh-CN"/>
        </w:rPr>
        <w:t>学术型硕士</w:t>
      </w:r>
      <w:r>
        <w:rPr>
          <w:rFonts w:hint="eastAsia" w:ascii="方正小标宋简体" w:cs="方正小标宋简体"/>
        </w:rPr>
        <w:t>研究生培养方案</w:t>
      </w:r>
    </w:p>
    <w:p w14:paraId="2484045E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方正小标宋简体" w:cs="方正小标宋简体"/>
          <w:color w:val="FF0000"/>
          <w:lang w:val="en-US" w:eastAsia="zh-CN"/>
        </w:rPr>
        <w:t>方正小标宋简体，二号字，1.5倍行距，段前段后0.6行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543C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6C9DC339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</w:rPr>
              <w:t>培养单位：</w:t>
            </w:r>
            <w:r>
              <w:rPr>
                <w:rFonts w:hint="eastAsia" w:ascii="方正小标宋简体" w:cs="方正小标宋简体"/>
                <w:color w:val="FF0000"/>
                <w:lang w:val="en-US" w:eastAsia="zh-CN"/>
              </w:rPr>
              <w:t>黑体，四号字</w:t>
            </w:r>
            <w:r>
              <w:rPr>
                <w:rFonts w:hint="eastAsia" w:ascii="黑体" w:hAnsi="宋体" w:eastAsia="黑体"/>
                <w:sz w:val="28"/>
              </w:rPr>
              <w:t xml:space="preserve">             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57538A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</w:rPr>
              <w:t>学科</w:t>
            </w:r>
            <w:r>
              <w:rPr>
                <w:rFonts w:hint="eastAsia" w:ascii="黑体" w:hAnsi="宋体" w:eastAsia="黑体"/>
                <w:sz w:val="28"/>
                <w:lang w:val="en-US" w:eastAsia="zh-CN"/>
              </w:rPr>
              <w:t>门类</w:t>
            </w:r>
            <w:r>
              <w:rPr>
                <w:rFonts w:hint="eastAsia" w:ascii="黑体" w:hAnsi="宋体" w:eastAsia="黑体"/>
                <w:sz w:val="28"/>
              </w:rPr>
              <w:t>：</w:t>
            </w:r>
          </w:p>
        </w:tc>
      </w:tr>
      <w:tr w14:paraId="4252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80ADA3B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  <w:lang w:val="en-US" w:eastAsia="zh-CN"/>
              </w:rPr>
              <w:t>一级/二级</w:t>
            </w:r>
            <w:r>
              <w:rPr>
                <w:rFonts w:hint="eastAsia" w:ascii="黑体" w:hAnsi="宋体" w:eastAsia="黑体"/>
                <w:sz w:val="28"/>
              </w:rPr>
              <w:t xml:space="preserve">学科代码：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4BA6B7AA">
            <w:pPr>
              <w:jc w:val="left"/>
              <w:rPr>
                <w:rFonts w:hint="default" w:ascii="黑体" w:hAnsi="宋体" w:eastAsia="黑体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sz w:val="28"/>
                <w:vertAlign w:val="baseline"/>
                <w:lang w:val="en-US" w:eastAsia="zh-CN"/>
              </w:rPr>
              <w:t>一级</w:t>
            </w:r>
            <w:r>
              <w:rPr>
                <w:rFonts w:hint="eastAsia" w:ascii="黑体" w:hAnsi="宋体" w:eastAsia="黑体"/>
                <w:sz w:val="28"/>
                <w:lang w:val="en-US" w:eastAsia="zh-CN"/>
              </w:rPr>
              <w:t>/二级</w:t>
            </w:r>
            <w:r>
              <w:rPr>
                <w:rFonts w:hint="eastAsia" w:ascii="黑体" w:hAnsi="宋体" w:eastAsia="黑体"/>
                <w:sz w:val="28"/>
                <w:vertAlign w:val="baseline"/>
                <w:lang w:val="en-US" w:eastAsia="zh-CN"/>
              </w:rPr>
              <w:t>学科名称：</w:t>
            </w:r>
          </w:p>
        </w:tc>
      </w:tr>
    </w:tbl>
    <w:p w14:paraId="75DA1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一、培养目标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（</w:t>
      </w: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黑体，四号字，1.5倍行距，段前0.6行，段后0，下同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）</w:t>
      </w:r>
    </w:p>
    <w:p w14:paraId="1F9907A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</w:rPr>
        <w:t>把立德树人作为研究生教育的根本任务，培养社会主义建设事业需要的，德智体美劳全面发展的，适应面向现代化、面向世界、面向未来的高级专门人才。具体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培养目标</w:t>
      </w:r>
      <w:r>
        <w:rPr>
          <w:rFonts w:hint="eastAsia" w:ascii="仿宋_GB2312" w:hAnsi="仿宋" w:eastAsia="仿宋_GB2312" w:cs="仿宋"/>
          <w:sz w:val="28"/>
          <w:szCs w:val="28"/>
        </w:rPr>
        <w:t>为：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（</w:t>
      </w:r>
      <w:r>
        <w:rPr>
          <w:rFonts w:hint="eastAsia" w:ascii="仿宋_GB2312" w:hAnsi="仿宋" w:eastAsia="仿宋_GB2312" w:cs="仿宋"/>
          <w:color w:val="FF0000"/>
          <w:sz w:val="28"/>
          <w:szCs w:val="28"/>
          <w:lang w:val="en-US" w:eastAsia="zh-CN"/>
        </w:rPr>
        <w:t>仿宋_GB2312字体，四号字，1.5倍行距，段前段后0行，首行缩进2字符，下同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）</w:t>
      </w:r>
    </w:p>
    <w:p w14:paraId="5258463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default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1.……</w:t>
      </w:r>
    </w:p>
    <w:p w14:paraId="1499F43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2.……</w:t>
      </w:r>
    </w:p>
    <w:p w14:paraId="0BCB073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3.……</w:t>
      </w:r>
    </w:p>
    <w:p w14:paraId="593418E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baseline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二、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学习年限</w:t>
      </w:r>
    </w:p>
    <w:p w14:paraId="5F104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ind w:firstLine="560" w:firstLineChars="200"/>
        <w:jc w:val="left"/>
        <w:textAlignment w:val="auto"/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硕士研究生基本学习年限为三年，最长学习年限可在基本学习年限基础上延长3年（含休学）。</w:t>
      </w:r>
    </w:p>
    <w:p w14:paraId="491C1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三、研究方向</w:t>
      </w:r>
    </w:p>
    <w:p w14:paraId="0649065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eastAsia="仿宋_GB2312" w:cs="Times New Roman"/>
          <w:sz w:val="28"/>
          <w:szCs w:val="28"/>
        </w:rPr>
        <w:t>本学科下设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*</w:t>
      </w:r>
      <w:r>
        <w:rPr>
          <w:rFonts w:hint="eastAsia" w:ascii="仿宋_GB2312" w:eastAsia="仿宋_GB2312" w:cs="Times New Roman"/>
          <w:sz w:val="28"/>
          <w:szCs w:val="28"/>
        </w:rPr>
        <w:t>个研究方向</w:t>
      </w:r>
      <w:r>
        <w:rPr>
          <w:rFonts w:hint="eastAsia" w:ascii="仿宋_GB2312" w:hAnsi="仿宋" w:eastAsia="仿宋_GB2312" w:cs="仿宋"/>
          <w:sz w:val="28"/>
          <w:szCs w:val="28"/>
        </w:rPr>
        <w:t>，分别为：</w:t>
      </w:r>
    </w:p>
    <w:p w14:paraId="0B15857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方向1：</w:t>
      </w:r>
    </w:p>
    <w:p w14:paraId="7AD313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方向2：</w:t>
      </w:r>
    </w:p>
    <w:p w14:paraId="4654882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方向3：</w:t>
      </w:r>
    </w:p>
    <w:p w14:paraId="17788E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……</w:t>
      </w:r>
    </w:p>
    <w:p w14:paraId="2E3FF62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培养环节</w:t>
      </w:r>
    </w:p>
    <w:p w14:paraId="0546F76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default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1.课程设置及学分要求；</w:t>
      </w:r>
    </w:p>
    <w:p w14:paraId="2D0EDAB8">
      <w:pPr>
        <w:widowControl/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</w:rPr>
      </w:pP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硕士研究生课程分为学位课和选修课两大类。学位课为考试课程，成绩75分以上为合格；选修课可安排考试或考查，成绩60分以上为合格。硕士研究生课程学习一般应在入学后1学年内完成，特殊情况下不超过一年半。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br w:type="textWrapping"/>
      </w: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 xml:space="preserve">    硕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士研究生在校期间应至少修满</w:t>
      </w: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*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学分。课程学分的计算一般为每学期的周学时数（每学期按</w:t>
      </w: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*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周计）。</w:t>
      </w:r>
      <w:r>
        <w:rPr>
          <w:rFonts w:hint="eastAsia" w:ascii="仿宋_GB2312" w:hAnsi="仿宋_GB2312" w:eastAsia="仿宋_GB2312" w:cs="仿宋_GB2312"/>
          <w:kern w:val="0"/>
          <w:sz w:val="28"/>
          <w:szCs w:val="32"/>
        </w:rPr>
        <w:t>课程设置</w:t>
      </w:r>
      <w:r>
        <w:rPr>
          <w:rFonts w:hint="eastAsia" w:ascii="仿宋_GB2312" w:hAnsi="仿宋_GB2312" w:eastAsia="仿宋_GB2312" w:cs="仿宋_GB2312"/>
          <w:kern w:val="0"/>
          <w:sz w:val="28"/>
          <w:szCs w:val="32"/>
          <w:lang w:val="en-US" w:eastAsia="zh-CN"/>
        </w:rPr>
        <w:t>包括公共学位课、专业学位课、专业选修课和必修环节等。</w:t>
      </w:r>
      <w:r>
        <w:rPr>
          <w:rFonts w:hint="eastAsia" w:ascii="仿宋_GB2312" w:eastAsia="仿宋_GB2312"/>
          <w:kern w:val="0"/>
          <w:sz w:val="28"/>
          <w:szCs w:val="32"/>
        </w:rPr>
        <w:t>详见附表。</w:t>
      </w:r>
    </w:p>
    <w:p w14:paraId="5CE15648">
      <w:pPr>
        <w:widowControl/>
        <w:numPr>
          <w:ilvl w:val="0"/>
          <w:numId w:val="0"/>
        </w:numPr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2.开题报告；</w:t>
      </w:r>
    </w:p>
    <w:p w14:paraId="4662F81D">
      <w:pPr>
        <w:widowControl/>
        <w:numPr>
          <w:ilvl w:val="0"/>
          <w:numId w:val="0"/>
        </w:numPr>
        <w:spacing w:line="360" w:lineRule="auto"/>
        <w:ind w:firstLine="560" w:firstLineChars="200"/>
        <w:rPr>
          <w:rFonts w:hint="default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3.中期考核；</w:t>
      </w:r>
    </w:p>
    <w:p w14:paraId="598CEE06">
      <w:pPr>
        <w:widowControl/>
        <w:spacing w:line="360" w:lineRule="auto"/>
        <w:ind w:firstLine="560" w:firstLineChars="200"/>
        <w:rPr>
          <w:rFonts w:hint="default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4.学位论文：论文评审、</w:t>
      </w:r>
      <w:bookmarkStart w:id="0" w:name="_GoBack"/>
      <w:bookmarkEnd w:id="0"/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（预答辩）答辩等。</w:t>
      </w:r>
    </w:p>
    <w:p w14:paraId="309EF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五、培养方式</w:t>
      </w:r>
    </w:p>
    <w:p w14:paraId="4D2D68A9">
      <w:pPr>
        <w:widowControl/>
        <w:spacing w:line="360" w:lineRule="auto"/>
        <w:ind w:firstLine="560" w:firstLineChars="200"/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</w:pP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采取以导师为主，导师与指导小组集体培养相结合的方式。研究生指导小组由导师及本学科专业的教授、副教授组成，由本专业或研究方向的学术带头人担任组长。硕士研究生入学后1个月内，导师应依据培养方案的要求和学生的个人特点</w:t>
      </w: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拟定</w:t>
      </w:r>
      <w:r>
        <w:rPr>
          <w:rFonts w:hint="default" w:ascii="仿宋_GB2312" w:hAnsi="仿宋" w:eastAsia="仿宋_GB2312" w:cs="仿宋"/>
          <w:kern w:val="0"/>
          <w:sz w:val="28"/>
          <w:szCs w:val="28"/>
          <w:lang w:val="en-US" w:eastAsia="zh-CN" w:bidi="ar-SA"/>
        </w:rPr>
        <w:t>硕士研究生个人培养计划。培养计划要对硕士研究生的课程学习、文献阅读、学术活动、科学研究工作等项的要求和进度做出计划与时间安排。</w:t>
      </w:r>
    </w:p>
    <w:p w14:paraId="1803C809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六、必读书目</w:t>
      </w:r>
    </w:p>
    <w:p w14:paraId="7B802549">
      <w:pPr>
        <w:jc w:val="both"/>
        <w:rPr>
          <w:rFonts w:hint="eastAsia" w:ascii="黑体" w:eastAsia="黑体"/>
          <w:b/>
          <w:sz w:val="28"/>
          <w:szCs w:val="28"/>
          <w:lang w:val="en-US" w:eastAsia="zh-CN"/>
        </w:rPr>
      </w:pPr>
    </w:p>
    <w:p w14:paraId="238F5C78">
      <w:pPr>
        <w:jc w:val="both"/>
        <w:rPr>
          <w:rFonts w:hint="default" w:asci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>附表：</w:t>
      </w:r>
    </w:p>
    <w:p w14:paraId="78265219"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**专业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学术型</w:t>
      </w:r>
      <w:r>
        <w:rPr>
          <w:rFonts w:hint="eastAsia" w:ascii="黑体" w:eastAsia="黑体"/>
          <w:b/>
          <w:sz w:val="28"/>
          <w:szCs w:val="28"/>
        </w:rPr>
        <w:t>硕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士</w:t>
      </w:r>
      <w:r>
        <w:rPr>
          <w:rFonts w:hint="eastAsia" w:ascii="黑体" w:eastAsia="黑体"/>
          <w:b/>
          <w:sz w:val="28"/>
          <w:szCs w:val="28"/>
        </w:rPr>
        <w:t>研究生课程设置表</w:t>
      </w:r>
    </w:p>
    <w:p w14:paraId="6ED27D1D"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（</w:t>
      </w: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黑体，四号字，1.5倍行距，段前0.6行，段后0，下同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  <w:t>表格内黑体字小四、加粗，宋体字五号。</w:t>
      </w:r>
    </w:p>
    <w:tbl>
      <w:tblPr>
        <w:tblStyle w:val="4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716"/>
        <w:gridCol w:w="381"/>
        <w:gridCol w:w="1432"/>
        <w:gridCol w:w="8"/>
        <w:gridCol w:w="1805"/>
        <w:gridCol w:w="266"/>
        <w:gridCol w:w="635"/>
        <w:gridCol w:w="460"/>
        <w:gridCol w:w="452"/>
        <w:gridCol w:w="242"/>
        <w:gridCol w:w="744"/>
        <w:gridCol w:w="829"/>
      </w:tblGrid>
      <w:tr w14:paraId="6CBF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1097" w:type="dxa"/>
            <w:noWrap w:val="0"/>
            <w:vAlign w:val="center"/>
          </w:tcPr>
          <w:p w14:paraId="6FBFFC29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分组情况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14C8266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课程类别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0819B7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课程编号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4E959CB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课程名称</w:t>
            </w:r>
          </w:p>
        </w:tc>
        <w:tc>
          <w:tcPr>
            <w:tcW w:w="635" w:type="dxa"/>
            <w:noWrap w:val="0"/>
            <w:vAlign w:val="center"/>
          </w:tcPr>
          <w:p w14:paraId="121CFEE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学分</w:t>
            </w:r>
          </w:p>
        </w:tc>
        <w:tc>
          <w:tcPr>
            <w:tcW w:w="460" w:type="dxa"/>
            <w:noWrap w:val="0"/>
            <w:vAlign w:val="center"/>
          </w:tcPr>
          <w:p w14:paraId="58851A99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学时</w:t>
            </w:r>
          </w:p>
        </w:tc>
        <w:tc>
          <w:tcPr>
            <w:tcW w:w="694" w:type="dxa"/>
            <w:gridSpan w:val="2"/>
            <w:noWrap w:val="0"/>
            <w:vAlign w:val="center"/>
          </w:tcPr>
          <w:p w14:paraId="57F9A6C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学期</w:t>
            </w:r>
          </w:p>
        </w:tc>
        <w:tc>
          <w:tcPr>
            <w:tcW w:w="744" w:type="dxa"/>
            <w:noWrap w:val="0"/>
            <w:vAlign w:val="center"/>
          </w:tcPr>
          <w:p w14:paraId="74D3755C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授课方式</w:t>
            </w:r>
          </w:p>
        </w:tc>
        <w:tc>
          <w:tcPr>
            <w:tcW w:w="829" w:type="dxa"/>
            <w:noWrap w:val="0"/>
            <w:vAlign w:val="center"/>
          </w:tcPr>
          <w:p w14:paraId="7D46F8D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考试方式</w:t>
            </w:r>
          </w:p>
        </w:tc>
      </w:tr>
      <w:tr w14:paraId="056D8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279294A0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第1组，选*门，选*学分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52B0DBA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A公共基础课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380D4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171717"/>
                <w:kern w:val="0"/>
                <w:sz w:val="18"/>
                <w:szCs w:val="18"/>
                <w:lang w:val="en-US" w:eastAsia="zh-CN" w:bidi="ar"/>
              </w:rPr>
              <w:t>11_000002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4386BFA9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自然辩证法概论</w:t>
            </w:r>
          </w:p>
        </w:tc>
        <w:tc>
          <w:tcPr>
            <w:tcW w:w="635" w:type="dxa"/>
            <w:noWrap w:val="0"/>
            <w:vAlign w:val="center"/>
          </w:tcPr>
          <w:p w14:paraId="4836FF43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460" w:type="dxa"/>
            <w:noWrap w:val="0"/>
            <w:vAlign w:val="center"/>
          </w:tcPr>
          <w:p w14:paraId="276BB601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694" w:type="dxa"/>
            <w:gridSpan w:val="2"/>
            <w:noWrap w:val="0"/>
            <w:vAlign w:val="center"/>
          </w:tcPr>
          <w:p w14:paraId="6974119D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44" w:type="dxa"/>
            <w:noWrap w:val="0"/>
            <w:vAlign w:val="center"/>
          </w:tcPr>
          <w:p w14:paraId="57E588F2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面授讲课</w:t>
            </w:r>
          </w:p>
        </w:tc>
        <w:tc>
          <w:tcPr>
            <w:tcW w:w="829" w:type="dxa"/>
            <w:noWrap w:val="0"/>
            <w:vAlign w:val="center"/>
          </w:tcPr>
          <w:p w14:paraId="45926052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笔试</w:t>
            </w:r>
          </w:p>
        </w:tc>
      </w:tr>
      <w:tr w14:paraId="265F4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623A0A0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0681F3D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A公共基础课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A62F85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B0811DE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58F0571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7B8FAD9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55E524C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EE55E8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7D26BC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0CFD9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55719A67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第2组，选*门，选*学分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74E33497">
            <w:pPr>
              <w:adjustRightInd w:val="0"/>
              <w:snapToGrid w:val="0"/>
              <w:jc w:val="both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B专业基础课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270FC82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35CA4A3B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1078574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7D3389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39BED5D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3A5716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1AF9C48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39D20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5EBD511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02E7B6F4">
            <w:pPr>
              <w:adjustRightInd w:val="0"/>
              <w:snapToGrid w:val="0"/>
              <w:jc w:val="both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B专业基础课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A21A0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1857BCE1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0314E2E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49E5E6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7D64F7AD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A089E7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7ADC2E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6D22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142C0E86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第3组，选*门，选*学分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5A34D057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C专业必修课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575421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2C3EBC31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6F866AF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0ACD0BF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71D2EEC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419363C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775013E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2DE4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18D2FBB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211E601B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C专业必修课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2787AE9">
            <w:pPr>
              <w:adjustRightInd w:val="0"/>
              <w:snapToGrid w:val="0"/>
              <w:jc w:val="center"/>
              <w:rPr>
                <w:rFonts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04B60BF">
            <w:pPr>
              <w:adjustRightInd w:val="0"/>
              <w:snapToGrid w:val="0"/>
              <w:rPr>
                <w:rFonts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326D8FF7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D95B5A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2D7F2A5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6922324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7ACA327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01EA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3074D1D1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第4组，选*门，选*学分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044F51D4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D专业选修课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600B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51BBC7CE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1DF627D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2C59132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48E7697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301F44F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990C9F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2063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7E37411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4B1640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D专业选修课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15B90ED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42573B3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547F5C1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44734A2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3FC82BF5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2210879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3D3ADA3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527D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813" w:type="dxa"/>
            <w:gridSpan w:val="2"/>
            <w:noWrap w:val="0"/>
            <w:vAlign w:val="center"/>
          </w:tcPr>
          <w:p w14:paraId="1F8924C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培养环节代码</w:t>
            </w:r>
          </w:p>
        </w:tc>
        <w:tc>
          <w:tcPr>
            <w:tcW w:w="1813" w:type="dxa"/>
            <w:gridSpan w:val="2"/>
            <w:noWrap w:val="0"/>
            <w:vAlign w:val="center"/>
          </w:tcPr>
          <w:p w14:paraId="77AA67B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培养环节名称</w:t>
            </w:r>
          </w:p>
        </w:tc>
        <w:tc>
          <w:tcPr>
            <w:tcW w:w="1813" w:type="dxa"/>
            <w:gridSpan w:val="2"/>
            <w:noWrap w:val="0"/>
            <w:vAlign w:val="center"/>
          </w:tcPr>
          <w:p w14:paraId="4D1954D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培养环节类型</w:t>
            </w:r>
          </w:p>
        </w:tc>
        <w:tc>
          <w:tcPr>
            <w:tcW w:w="1813" w:type="dxa"/>
            <w:gridSpan w:val="4"/>
            <w:noWrap w:val="0"/>
            <w:vAlign w:val="center"/>
          </w:tcPr>
          <w:p w14:paraId="2F42073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培养环节学分</w:t>
            </w:r>
          </w:p>
        </w:tc>
        <w:tc>
          <w:tcPr>
            <w:tcW w:w="1815" w:type="dxa"/>
            <w:gridSpan w:val="3"/>
            <w:noWrap w:val="0"/>
            <w:vAlign w:val="center"/>
          </w:tcPr>
          <w:p w14:paraId="473174CE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备注</w:t>
            </w:r>
          </w:p>
        </w:tc>
      </w:tr>
    </w:tbl>
    <w:p w14:paraId="1D5FDF8E"/>
    <w:sectPr>
      <w:footerReference r:id="rId3" w:type="default"/>
      <w:footerReference r:id="rId4" w:type="even"/>
      <w:pgSz w:w="11906" w:h="16838"/>
      <w:pgMar w:top="1800" w:right="1440" w:bottom="1800" w:left="1440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25354713"/>
      <w:docPartObj>
        <w:docPartGallery w:val="autotext"/>
      </w:docPartObj>
    </w:sdtPr>
    <w:sdtContent>
      <w:p w14:paraId="3E0A19F4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28D537C9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7CB4">
    <w:pPr>
      <w:pStyle w:val="3"/>
      <w:ind w:right="560"/>
      <w:rPr>
        <w:rFonts w:ascii="宋体" w:hAnsi="宋体"/>
        <w:sz w:val="28"/>
        <w:szCs w:val="28"/>
      </w:rPr>
    </w:pPr>
  </w:p>
  <w:p w14:paraId="2D8FDE51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00954B"/>
    <w:multiLevelType w:val="singleLevel"/>
    <w:tmpl w:val="9400954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5071E"/>
    <w:rsid w:val="0815071E"/>
    <w:rsid w:val="0A522DB0"/>
    <w:rsid w:val="14361CE5"/>
    <w:rsid w:val="155B33AF"/>
    <w:rsid w:val="156F7CF1"/>
    <w:rsid w:val="1E6D0E57"/>
    <w:rsid w:val="21234B7D"/>
    <w:rsid w:val="221C7DA5"/>
    <w:rsid w:val="22DE50C2"/>
    <w:rsid w:val="2E7E34E6"/>
    <w:rsid w:val="2F063F34"/>
    <w:rsid w:val="3270798B"/>
    <w:rsid w:val="334E5EA9"/>
    <w:rsid w:val="39881AB8"/>
    <w:rsid w:val="3B1D2A5F"/>
    <w:rsid w:val="43AA5488"/>
    <w:rsid w:val="45115046"/>
    <w:rsid w:val="4E831BAC"/>
    <w:rsid w:val="523311D4"/>
    <w:rsid w:val="52741E44"/>
    <w:rsid w:val="56317D45"/>
    <w:rsid w:val="56334BE2"/>
    <w:rsid w:val="58E97AA9"/>
    <w:rsid w:val="5F6146EB"/>
    <w:rsid w:val="62DF2A10"/>
    <w:rsid w:val="64B6322B"/>
    <w:rsid w:val="71991353"/>
    <w:rsid w:val="78B85392"/>
    <w:rsid w:val="7A206A24"/>
    <w:rsid w:val="7C3F595C"/>
    <w:rsid w:val="7E0A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120" w:after="120" w:line="578" w:lineRule="auto"/>
      <w:jc w:val="center"/>
      <w:outlineLvl w:val="0"/>
    </w:pPr>
    <w:rPr>
      <w:rFonts w:ascii="Times New Roman" w:hAnsi="Times New Roman" w:eastAsia="方正小标宋简体" w:cs="Times New Roman"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标准"/>
    <w:basedOn w:val="1"/>
    <w:autoRedefine/>
    <w:qFormat/>
    <w:uiPriority w:val="99"/>
    <w:pPr>
      <w:adjustRightInd w:val="0"/>
      <w:spacing w:before="120" w:after="120" w:line="312" w:lineRule="atLeast"/>
      <w:textAlignment w:val="baseline"/>
    </w:pPr>
    <w:rPr>
      <w:rFonts w:ascii="宋体" w:hAnsi="Times New Roman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964</Words>
  <Characters>1023</Characters>
  <Lines>0</Lines>
  <Paragraphs>0</Paragraphs>
  <TotalTime>63</TotalTime>
  <ScaleCrop>false</ScaleCrop>
  <LinksUpToDate>false</LinksUpToDate>
  <CharactersWithSpaces>1042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2025-03-07T04:03:00Z</dcterms:created>
  <dc:creator>冯欢</dc:creator>
  <cp:lastModifiedBy>张卫刚</cp:lastModifiedBy>
  <dcterms:modified xsi:type="dcterms:W3CDTF">2026-05-19T08:44:48Z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F5471E4D0CE64C69A16F5915D238E092_13</vt:lpwstr>
  </property>
  <property fmtid="{D5CDD505-2E9C-101B-9397-08002B2CF9AE}" pid="4" name="KSOTemplateDocerSaveRecord">
    <vt:lpwstr>eyJoZGlkIjoiMzRhMTllODQyNWNmMWU4NjhkMDljN2Q1ZjA0NzgxMmMiLCJ1c2VySWQiOiIxMTM2NzU3MzU5In0=</vt:lpwstr>
  </property>
</Properties>
</file>