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993" w:rsidRDefault="005C0993" w:rsidP="005C0993">
      <w:r>
        <w:rPr>
          <w:rFonts w:hint="eastAsia"/>
        </w:rPr>
        <w:t>附件</w:t>
      </w:r>
      <w:r>
        <w:t xml:space="preserve"> 1</w:t>
      </w:r>
    </w:p>
    <w:p w:rsidR="005C0993" w:rsidRPr="005C0993" w:rsidRDefault="005C0993" w:rsidP="005C0993">
      <w:pPr>
        <w:jc w:val="center"/>
        <w:rPr>
          <w:rFonts w:ascii="黑体" w:eastAsia="黑体" w:hAnsi="黑体"/>
          <w:sz w:val="36"/>
          <w:szCs w:val="36"/>
        </w:rPr>
      </w:pPr>
      <w:r w:rsidRPr="005C0993">
        <w:rPr>
          <w:rFonts w:ascii="黑体" w:eastAsia="黑体" w:hAnsi="黑体" w:hint="eastAsia"/>
          <w:sz w:val="36"/>
          <w:szCs w:val="36"/>
        </w:rPr>
        <w:t>河南省高等学校</w:t>
      </w:r>
      <w:r w:rsidRPr="005C0993">
        <w:rPr>
          <w:rFonts w:ascii="黑体" w:eastAsia="黑体" w:hAnsi="黑体"/>
          <w:sz w:val="36"/>
          <w:szCs w:val="36"/>
        </w:rPr>
        <w:t xml:space="preserve"> 2020 年度廉政专题研究项目课题</w:t>
      </w:r>
    </w:p>
    <w:p w:rsidR="005C0993" w:rsidRDefault="005C0993" w:rsidP="005C0993">
      <w:r>
        <w:rPr>
          <w:rFonts w:hint="eastAsia"/>
        </w:rPr>
        <w:t>说明：申报者需对</w:t>
      </w:r>
      <w:r>
        <w:t xml:space="preserve"> 1-48 课题进行原题申报,49、50 题可作为范围题申报</w:t>
      </w:r>
    </w:p>
    <w:p w:rsidR="005C0993" w:rsidRDefault="005C0993" w:rsidP="005C0993">
      <w:r>
        <w:t>1.健全突发事件监督工作制度化常态化机制研究</w:t>
      </w:r>
    </w:p>
    <w:p w:rsidR="005C0993" w:rsidRDefault="005C0993" w:rsidP="005C0993">
      <w:r>
        <w:t>2.推进政治监督具体化常态化难点、盲点及着力点</w:t>
      </w:r>
    </w:p>
    <w:p w:rsidR="005C0993" w:rsidRDefault="005C0993" w:rsidP="005C0993">
      <w:r>
        <w:t>3.全面从严治党向基层延伸最后一公里梗阻现象（难点、盲点）治理对策</w:t>
      </w:r>
    </w:p>
    <w:p w:rsidR="005C0993" w:rsidRDefault="005C0993" w:rsidP="005C0993">
      <w:r>
        <w:t>4.领导干部(地方或高校）违反八项规定精神风险点、趋势及防控机制——--基于河南省违反八项规定精神案例研究</w:t>
      </w:r>
    </w:p>
    <w:p w:rsidR="005C0993" w:rsidRDefault="005C0993" w:rsidP="005C0993">
      <w:r>
        <w:t>5.中层领导干部腐败风险点及其防控问题研究——--基于河南省违纪违法案例研究</w:t>
      </w:r>
    </w:p>
    <w:p w:rsidR="005C0993" w:rsidRDefault="005C0993" w:rsidP="005C0993">
      <w:r>
        <w:t>6.中小学领导干部腐败风险点及其防控问题研究——--基于河南省违纪违法案例研究</w:t>
      </w:r>
    </w:p>
    <w:p w:rsidR="005C0993" w:rsidRDefault="005C0993" w:rsidP="005C0993">
      <w:r>
        <w:t>7.河南省管高校财务公开透明度评价研究———基于 38 所省管高校财务公开数据</w:t>
      </w:r>
    </w:p>
    <w:p w:rsidR="005C0993" w:rsidRDefault="005C0993" w:rsidP="005C0993">
      <w:r>
        <w:t>8.提高高校（地方基层组织）治理腐败效能问题研究</w:t>
      </w:r>
    </w:p>
    <w:p w:rsidR="005C0993" w:rsidRDefault="005C0993" w:rsidP="005C0993">
      <w:r>
        <w:t>9.基层（高校或地方）党的领导和监督虚化、弱化问题治理</w:t>
      </w:r>
      <w:r>
        <w:rPr>
          <w:rFonts w:hint="eastAsia"/>
        </w:rPr>
        <w:t>对策</w:t>
      </w:r>
    </w:p>
    <w:p w:rsidR="005C0993" w:rsidRDefault="005C0993" w:rsidP="005C0993">
      <w:r>
        <w:lastRenderedPageBreak/>
        <w:t>10.高校二级学院领导干部权力公开运行制度化规范化机制</w:t>
      </w:r>
    </w:p>
    <w:p w:rsidR="005C0993" w:rsidRDefault="005C0993" w:rsidP="005C0993">
      <w:r>
        <w:t>11.完善高校权力配置和运行制约机制研究</w:t>
      </w:r>
    </w:p>
    <w:p w:rsidR="005C0993" w:rsidRDefault="005C0993" w:rsidP="005C0993">
      <w:r>
        <w:t>12.健全高校纪检监察协作交叉办案机制研究</w:t>
      </w:r>
    </w:p>
    <w:p w:rsidR="005C0993" w:rsidRDefault="005C0993" w:rsidP="005C0993">
      <w:r>
        <w:t>13.推进高校纪检监察工作高质量发展难点、弱点和着力点研究</w:t>
      </w:r>
    </w:p>
    <w:p w:rsidR="005C0993" w:rsidRDefault="005C0993" w:rsidP="005C0993">
      <w:r>
        <w:t>14.完善高校纪检监察干部考核评价体系研究</w:t>
      </w:r>
    </w:p>
    <w:p w:rsidR="005C0993" w:rsidRDefault="005C0993" w:rsidP="005C0993">
      <w:r>
        <w:t>15.完善高校一把手（书记校长）考核评价体系研究</w:t>
      </w:r>
    </w:p>
    <w:p w:rsidR="005C0993" w:rsidRDefault="005C0993" w:rsidP="005C0993">
      <w:r>
        <w:t>16.精准整治民生领域的“微腐败”问题研究（教育、医疗等领域）</w:t>
      </w:r>
    </w:p>
    <w:p w:rsidR="005C0993" w:rsidRDefault="005C0993" w:rsidP="005C0993">
      <w:r>
        <w:t>17.党的十八大以来不收敛不收手问题治理难点及对策</w:t>
      </w:r>
    </w:p>
    <w:p w:rsidR="005C0993" w:rsidRDefault="005C0993" w:rsidP="005C0993">
      <w:r>
        <w:t>18.贯彻落实党中央决策部署形式主义表现及治理对策</w:t>
      </w:r>
    </w:p>
    <w:p w:rsidR="005C0993" w:rsidRDefault="005C0993" w:rsidP="005C0993">
      <w:r>
        <w:t>19.治理“四风”的重要节点、薄弱环节、着力点研究</w:t>
      </w:r>
    </w:p>
    <w:p w:rsidR="005C0993" w:rsidRDefault="005C0993" w:rsidP="005C0993">
      <w:r>
        <w:t>20.维护群众利益不担当不作为表现及治理问题研究</w:t>
      </w:r>
    </w:p>
    <w:p w:rsidR="005C0993" w:rsidRDefault="005C0993" w:rsidP="005C0993">
      <w:r>
        <w:t>21.领导班子内部监督难点及精准破解对策</w:t>
      </w:r>
    </w:p>
    <w:p w:rsidR="005C0993" w:rsidRDefault="005C0993" w:rsidP="005C0993">
      <w:r>
        <w:t>22.加强对各级“一把手”监督检查制度创新问题研究（破解基层单位、高校、县乡党政一把手监督难点及对策研究）</w:t>
      </w:r>
    </w:p>
    <w:p w:rsidR="005C0993" w:rsidRDefault="005C0993" w:rsidP="005C0993">
      <w:r>
        <w:t>23.完善派驻机构工作制度研究</w:t>
      </w:r>
    </w:p>
    <w:p w:rsidR="005C0993" w:rsidRDefault="005C0993" w:rsidP="005C0993">
      <w:r>
        <w:t>24.增强一体推进不敢腐、不能腐、不想腐的总体效果研究</w:t>
      </w:r>
    </w:p>
    <w:p w:rsidR="005C0993" w:rsidRDefault="005C0993" w:rsidP="005C0993">
      <w:r>
        <w:t>25.精准运用“四种形态”规范化标准化问题研究</w:t>
      </w:r>
    </w:p>
    <w:p w:rsidR="005C0993" w:rsidRDefault="005C0993" w:rsidP="005C0993">
      <w:r>
        <w:lastRenderedPageBreak/>
        <w:t>26.完善发现问题、纠正偏差、精准问责有效机制研究</w:t>
      </w:r>
    </w:p>
    <w:p w:rsidR="005C0993" w:rsidRDefault="005C0993" w:rsidP="005C0993">
      <w:pPr>
        <w:rPr>
          <w:rFonts w:hint="eastAsia"/>
        </w:rPr>
      </w:pPr>
      <w:r>
        <w:t xml:space="preserve">27.精准问责规范化标准化问题研究 </w:t>
      </w:r>
    </w:p>
    <w:p w:rsidR="005C0993" w:rsidRDefault="005C0993" w:rsidP="005C0993">
      <w:r>
        <w:t>28.同级同类干部以案释德、以案释纪、以案释法制度化实效化研究</w:t>
      </w:r>
    </w:p>
    <w:p w:rsidR="005C0993" w:rsidRDefault="005C0993" w:rsidP="005C0993">
      <w:r>
        <w:t>29.提高党的基层组织日常监督质量（实效）问题研究</w:t>
      </w:r>
    </w:p>
    <w:p w:rsidR="005C0993" w:rsidRDefault="005C0993" w:rsidP="005C0993">
      <w:r>
        <w:t>30.完善全覆盖的制度执行监督机制问题研究</w:t>
      </w:r>
    </w:p>
    <w:p w:rsidR="005C0993" w:rsidRDefault="005C0993" w:rsidP="005C0993">
      <w:r>
        <w:t>31.健全领导班子和领导干部制度执行情况考核机制研究</w:t>
      </w:r>
    </w:p>
    <w:p w:rsidR="005C0993" w:rsidRDefault="005C0993" w:rsidP="005C0993">
      <w:r>
        <w:t>32.地方（政府、学校）贯彻执行国家教育政策制度的难点、弱点、盲点及其治理问题研究</w:t>
      </w:r>
    </w:p>
    <w:p w:rsidR="005C0993" w:rsidRDefault="005C0993" w:rsidP="005C0993">
      <w:r>
        <w:t>33.构建高校（或中小学）治理系统完备、科学规范、运行有效的制度体系研究</w:t>
      </w:r>
    </w:p>
    <w:p w:rsidR="005C0993" w:rsidRDefault="005C0993" w:rsidP="005C0993">
      <w:r>
        <w:t>34.高校或中小学校内政务财务管理制度廉洁风险点及其矫正问题研究</w:t>
      </w:r>
    </w:p>
    <w:p w:rsidR="005C0993" w:rsidRDefault="005C0993" w:rsidP="005C0993">
      <w:r>
        <w:t>35.河南省以案促改工作高质量发展精准对策</w:t>
      </w:r>
    </w:p>
    <w:p w:rsidR="005C0993" w:rsidRDefault="005C0993" w:rsidP="005C0993">
      <w:r>
        <w:t>36.党委（党组）全面监督的难点、重点和着力点</w:t>
      </w:r>
    </w:p>
    <w:p w:rsidR="005C0993" w:rsidRDefault="005C0993" w:rsidP="005C0993">
      <w:r>
        <w:t>37.严重阻碍党的理论和路线方针政策贯彻执行的表现和治理对策</w:t>
      </w:r>
    </w:p>
    <w:p w:rsidR="005C0993" w:rsidRDefault="005C0993" w:rsidP="005C0993">
      <w:r>
        <w:lastRenderedPageBreak/>
        <w:t>38.党内监督体系中各种主体监督的结合点和融为一体对策研究（党委（党组）全面监督、纪委监委专责监督、党的工作部门职能监督、党的基层组织日常监督、党员民主监督等结合起来、融为一体）</w:t>
      </w:r>
    </w:p>
    <w:p w:rsidR="005C0993" w:rsidRDefault="005C0993" w:rsidP="005C0993">
      <w:r>
        <w:t>39.基层纪律监督、监察监督、派驻监督、巡察监督统筹衔接点及路径</w:t>
      </w:r>
    </w:p>
    <w:p w:rsidR="005C0993" w:rsidRDefault="005C0993" w:rsidP="005C0993">
      <w:r>
        <w:t>40.完善国家监督体系各类监督有机贯通、相互协调机制研</w:t>
      </w:r>
      <w:r>
        <w:rPr>
          <w:rFonts w:hint="eastAsia"/>
        </w:rPr>
        <w:t>究（党内监督为主导，推动人大监督、民主监督、行政监督、司法监督、审计监督、财会监督、统计监督、群众监督、舆论监督有机贯通、相互协调）</w:t>
      </w:r>
    </w:p>
    <w:p w:rsidR="005C0993" w:rsidRDefault="005C0993" w:rsidP="005C0993">
      <w:r>
        <w:t>41.领导干部财产申报核实难点、盲点和精准治理对策研究</w:t>
      </w:r>
    </w:p>
    <w:p w:rsidR="005C0993" w:rsidRDefault="005C0993" w:rsidP="005C0993">
      <w:r>
        <w:t>4</w:t>
      </w:r>
      <w:r>
        <w:rPr>
          <w:rFonts w:hint="eastAsia"/>
        </w:rPr>
        <w:t>2</w:t>
      </w:r>
      <w:r>
        <w:t>.基层党风廉政建设和反腐败斗争形式主义、官僚主义问题</w:t>
      </w:r>
    </w:p>
    <w:p w:rsidR="005C0993" w:rsidRDefault="005C0993" w:rsidP="005C0993">
      <w:r>
        <w:t>43.“围猎”与“被围猎”利益链表现及斩断对策</w:t>
      </w:r>
    </w:p>
    <w:p w:rsidR="005C0993" w:rsidRDefault="005C0993" w:rsidP="005C0993">
      <w:r>
        <w:t>44.基层政治生态环境不良（病态）表现及精准矫治对策</w:t>
      </w:r>
    </w:p>
    <w:p w:rsidR="005C0993" w:rsidRDefault="005C0993" w:rsidP="005C0993">
      <w:r>
        <w:t>45.政治问题与经济问题交织表现及精准治理对策</w:t>
      </w:r>
    </w:p>
    <w:p w:rsidR="005C0993" w:rsidRDefault="005C0993" w:rsidP="005C0993">
      <w:r>
        <w:t>46.权力运行查询追溯机制研究</w:t>
      </w:r>
    </w:p>
    <w:p w:rsidR="005C0993" w:rsidRDefault="005C0993" w:rsidP="005C0993">
      <w:r>
        <w:t>47.推进领导干部权力清单、责任清单、负面清单、问题清单、满意清单公开问题研究</w:t>
      </w:r>
    </w:p>
    <w:p w:rsidR="005C0993" w:rsidRDefault="005C0993" w:rsidP="005C0993">
      <w:r>
        <w:lastRenderedPageBreak/>
        <w:t>48.完善纪委监委机关、派驻机构、巡视巡察、企事业单位纪检监察干部培训交流管理一体化问题研究</w:t>
      </w:r>
    </w:p>
    <w:p w:rsidR="005C0993" w:rsidRDefault="005C0993" w:rsidP="005C0993">
      <w:r>
        <w:t>49.高校党风廉政建设和反腐败斗争实践创新相关问题研究</w:t>
      </w:r>
    </w:p>
    <w:p w:rsidR="005C0993" w:rsidRDefault="005C0993" w:rsidP="005C0993">
      <w:r>
        <w:t>50.贯彻落实习近平总书记关于党风廉政建设和反腐败斗争重要讲话精神、十九届四中全会精神、中纪委四次全会精神、省纪委五次全会精神的其他实践问题研究</w:t>
      </w:r>
    </w:p>
    <w:p w:rsidR="00261CAE" w:rsidRPr="005C0993" w:rsidRDefault="00261CAE" w:rsidP="005C0993"/>
    <w:sectPr w:rsidR="00261CAE" w:rsidRPr="005C0993" w:rsidSect="007F74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F66" w:rsidRDefault="00CC6F66" w:rsidP="00261CAE">
      <w:r>
        <w:separator/>
      </w:r>
    </w:p>
  </w:endnote>
  <w:endnote w:type="continuationSeparator" w:id="1">
    <w:p w:rsidR="00CC6F66" w:rsidRDefault="00CC6F66" w:rsidP="00261C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F66" w:rsidRDefault="00CC6F66" w:rsidP="00261CAE">
      <w:r>
        <w:separator/>
      </w:r>
    </w:p>
  </w:footnote>
  <w:footnote w:type="continuationSeparator" w:id="1">
    <w:p w:rsidR="00CC6F66" w:rsidRDefault="00CC6F66" w:rsidP="00261C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63E9"/>
    <w:rsid w:val="001A63E9"/>
    <w:rsid w:val="00261CAE"/>
    <w:rsid w:val="005C0993"/>
    <w:rsid w:val="007F7474"/>
    <w:rsid w:val="00CC6F66"/>
    <w:rsid w:val="00DF45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CAE"/>
    <w:pPr>
      <w:adjustRightInd w:val="0"/>
      <w:snapToGrid w:val="0"/>
      <w:spacing w:line="480" w:lineRule="auto"/>
    </w:pPr>
    <w:rPr>
      <w:rFonts w:ascii="宋体" w:eastAsia="宋体" w:hAnsi="宋体" w:cs="Arial"/>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63E9"/>
    <w:pPr>
      <w:widowControl w:val="0"/>
      <w:pBdr>
        <w:bottom w:val="single" w:sz="6" w:space="1" w:color="auto"/>
      </w:pBdr>
      <w:tabs>
        <w:tab w:val="center" w:pos="4153"/>
        <w:tab w:val="right" w:pos="8306"/>
      </w:tabs>
      <w:jc w:val="center"/>
    </w:pPr>
    <w:rPr>
      <w:rFonts w:asciiTheme="minorHAnsi" w:hAnsiTheme="minorHAnsi" w:cstheme="minorBidi"/>
      <w:kern w:val="2"/>
      <w:sz w:val="18"/>
      <w:szCs w:val="18"/>
    </w:rPr>
  </w:style>
  <w:style w:type="character" w:customStyle="1" w:styleId="Char">
    <w:name w:val="页眉 Char"/>
    <w:basedOn w:val="a0"/>
    <w:link w:val="a3"/>
    <w:uiPriority w:val="99"/>
    <w:semiHidden/>
    <w:rsid w:val="001A63E9"/>
    <w:rPr>
      <w:sz w:val="18"/>
      <w:szCs w:val="18"/>
    </w:rPr>
  </w:style>
  <w:style w:type="paragraph" w:styleId="a4">
    <w:name w:val="footer"/>
    <w:basedOn w:val="a"/>
    <w:link w:val="Char0"/>
    <w:uiPriority w:val="99"/>
    <w:semiHidden/>
    <w:unhideWhenUsed/>
    <w:rsid w:val="001A63E9"/>
    <w:pPr>
      <w:widowControl w:val="0"/>
      <w:tabs>
        <w:tab w:val="center" w:pos="4153"/>
        <w:tab w:val="right" w:pos="8306"/>
      </w:tabs>
    </w:pPr>
    <w:rPr>
      <w:rFonts w:asciiTheme="minorHAnsi" w:hAnsiTheme="minorHAnsi" w:cstheme="minorBidi"/>
      <w:kern w:val="2"/>
      <w:sz w:val="18"/>
      <w:szCs w:val="18"/>
    </w:rPr>
  </w:style>
  <w:style w:type="character" w:customStyle="1" w:styleId="Char0">
    <w:name w:val="页脚 Char"/>
    <w:basedOn w:val="a0"/>
    <w:link w:val="a4"/>
    <w:uiPriority w:val="99"/>
    <w:semiHidden/>
    <w:rsid w:val="001A63E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253</Words>
  <Characters>1447</Characters>
  <Application>Microsoft Office Word</Application>
  <DocSecurity>0</DocSecurity>
  <Lines>12</Lines>
  <Paragraphs>3</Paragraphs>
  <ScaleCrop>false</ScaleCrop>
  <Company>河南师范大学</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3</cp:revision>
  <dcterms:created xsi:type="dcterms:W3CDTF">2020-03-15T05:28:00Z</dcterms:created>
  <dcterms:modified xsi:type="dcterms:W3CDTF">2020-03-15T05:41:00Z</dcterms:modified>
</cp:coreProperties>
</file>