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margin" w:tblpY="20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2"/>
        <w:gridCol w:w="1843"/>
        <w:gridCol w:w="7087"/>
        <w:gridCol w:w="2696"/>
        <w:gridCol w:w="1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000" w:type="pct"/>
            <w:gridSpan w:val="5"/>
            <w:tcBorders>
              <w:top w:val="nil"/>
              <w:left w:val="nil"/>
              <w:bottom w:val="nil"/>
              <w:right w:val="nil"/>
            </w:tcBorders>
          </w:tcPr>
          <w:p>
            <w:pPr>
              <w:keepNext/>
              <w:widowControl/>
              <w:adjustRightInd w:val="0"/>
              <w:snapToGrid w:val="0"/>
              <w:jc w:val="both"/>
              <w:rPr>
                <w:rFonts w:hint="default" w:ascii="方正小标宋简体" w:hAnsi="方正小标宋简体" w:eastAsia="方正小标宋简体" w:cs="方正小标宋简体"/>
                <w:color w:val="auto"/>
                <w:sz w:val="44"/>
                <w:szCs w:val="44"/>
                <w:lang w:val="en-US" w:eastAsia="zh-CN"/>
              </w:rPr>
            </w:pPr>
            <w:r>
              <w:rPr>
                <w:rFonts w:hint="eastAsia" w:ascii="黑体" w:hAnsi="黑体" w:eastAsia="黑体" w:cs="黑体"/>
                <w:color w:val="auto"/>
                <w:sz w:val="30"/>
                <w:szCs w:val="30"/>
                <w:lang w:val="en-US" w:eastAsia="zh-CN"/>
              </w:rPr>
              <w:t>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blHeader/>
        </w:trPr>
        <w:tc>
          <w:tcPr>
            <w:tcW w:w="5000" w:type="pct"/>
            <w:gridSpan w:val="5"/>
            <w:tcBorders>
              <w:top w:val="nil"/>
              <w:left w:val="nil"/>
              <w:bottom w:val="single" w:color="auto" w:sz="4" w:space="0"/>
              <w:right w:val="nil"/>
            </w:tcBorders>
          </w:tcPr>
          <w:p>
            <w:pPr>
              <w:keepNext/>
              <w:widowControl/>
              <w:adjustRightInd w:val="0"/>
              <w:snapToGrid w:val="0"/>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河南师范大学文明单位量化考核表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blHeader/>
        </w:trPr>
        <w:tc>
          <w:tcPr>
            <w:tcW w:w="537"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一级指标</w:t>
            </w:r>
          </w:p>
        </w:tc>
        <w:tc>
          <w:tcPr>
            <w:tcW w:w="650"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二级指标</w:t>
            </w:r>
          </w:p>
        </w:tc>
        <w:tc>
          <w:tcPr>
            <w:tcW w:w="2500"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评价标准</w:t>
            </w:r>
          </w:p>
        </w:tc>
        <w:tc>
          <w:tcPr>
            <w:tcW w:w="949"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评价方式</w:t>
            </w:r>
          </w:p>
        </w:tc>
        <w:tc>
          <w:tcPr>
            <w:tcW w:w="361"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ascii="黑体" w:hAnsi="宋体" w:eastAsia="黑体" w:cs="宋体"/>
                <w:b/>
                <w:bCs/>
                <w:color w:val="auto"/>
                <w:kern w:val="0"/>
                <w:sz w:val="24"/>
              </w:rPr>
              <w:t>自评</w:t>
            </w:r>
          </w:p>
          <w:p>
            <w:pPr>
              <w:keepNext/>
              <w:widowControl/>
              <w:jc w:val="center"/>
              <w:rPr>
                <w:rFonts w:ascii="黑体" w:hAnsi="宋体" w:eastAsia="黑体" w:cs="宋体"/>
                <w:b/>
                <w:bCs/>
                <w:color w:val="auto"/>
                <w:kern w:val="0"/>
                <w:sz w:val="24"/>
              </w:rPr>
            </w:pPr>
            <w:r>
              <w:rPr>
                <w:rFonts w:ascii="黑体" w:hAnsi="宋体" w:eastAsia="黑体" w:cs="宋体"/>
                <w:b/>
                <w:bCs/>
                <w:color w:val="auto"/>
                <w:kern w:val="0"/>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blHeader/>
        </w:trPr>
        <w:tc>
          <w:tcPr>
            <w:tcW w:w="537" w:type="pct"/>
            <w:vMerge w:val="restart"/>
            <w:vAlign w:val="center"/>
          </w:tcPr>
          <w:p>
            <w:pPr>
              <w:keepNext/>
              <w:widowControl/>
              <w:jc w:val="center"/>
              <w:rPr>
                <w:rFonts w:ascii="黑体" w:hAnsi="黑体" w:eastAsia="黑体" w:cs="宋体"/>
                <w:b/>
                <w:bCs/>
                <w:color w:val="auto"/>
                <w:kern w:val="0"/>
                <w:szCs w:val="21"/>
              </w:rPr>
            </w:pPr>
            <w:r>
              <w:rPr>
                <w:rFonts w:hint="eastAsia" w:ascii="黑体" w:hAnsi="黑体" w:eastAsia="黑体" w:cs="宋体"/>
                <w:b/>
                <w:bCs/>
                <w:color w:val="auto"/>
                <w:kern w:val="0"/>
                <w:szCs w:val="21"/>
              </w:rPr>
              <w:t>组织领导</w:t>
            </w:r>
          </w:p>
          <w:p>
            <w:pPr>
              <w:keepNext/>
              <w:widowControl/>
              <w:jc w:val="center"/>
              <w:rPr>
                <w:rFonts w:ascii="黑体" w:hAnsi="黑体" w:eastAsia="黑体" w:cs="宋体"/>
                <w:b/>
                <w:bCs/>
                <w:color w:val="auto"/>
                <w:kern w:val="0"/>
                <w:szCs w:val="21"/>
              </w:rPr>
            </w:pPr>
            <w:r>
              <w:rPr>
                <w:rFonts w:hint="eastAsia" w:ascii="黑体" w:hAnsi="黑体" w:eastAsia="黑体" w:cs="宋体"/>
                <w:b/>
                <w:bCs/>
                <w:color w:val="auto"/>
                <w:kern w:val="0"/>
                <w:szCs w:val="21"/>
              </w:rPr>
              <w:t>（10%）</w:t>
            </w:r>
          </w:p>
        </w:tc>
        <w:tc>
          <w:tcPr>
            <w:tcW w:w="650" w:type="pct"/>
            <w:vMerge w:val="restart"/>
            <w:vAlign w:val="center"/>
          </w:tcPr>
          <w:p>
            <w:pPr>
              <w:keepNext/>
              <w:widowControl/>
              <w:jc w:val="center"/>
              <w:rPr>
                <w:rFonts w:ascii="黑体" w:hAnsi="黑体" w:eastAsia="黑体" w:cs="宋体"/>
                <w:b/>
                <w:bCs/>
                <w:color w:val="auto"/>
                <w:kern w:val="0"/>
                <w:szCs w:val="21"/>
              </w:rPr>
            </w:pPr>
            <w:r>
              <w:rPr>
                <w:rFonts w:hint="eastAsia" w:ascii="黑体" w:hAnsi="黑体" w:eastAsia="黑体" w:cs="宋体"/>
                <w:b/>
                <w:bCs/>
                <w:color w:val="auto"/>
                <w:kern w:val="0"/>
                <w:szCs w:val="21"/>
              </w:rPr>
              <w:t>工作机制</w:t>
            </w:r>
          </w:p>
          <w:p>
            <w:pPr>
              <w:keepNext/>
              <w:widowControl/>
              <w:jc w:val="center"/>
              <w:rPr>
                <w:rFonts w:ascii="黑体" w:hAnsi="黑体" w:eastAsia="黑体" w:cs="宋体"/>
                <w:b/>
                <w:bCs/>
                <w:color w:val="auto"/>
                <w:kern w:val="0"/>
                <w:szCs w:val="21"/>
              </w:rPr>
            </w:pPr>
            <w:r>
              <w:rPr>
                <w:rFonts w:hint="eastAsia" w:ascii="黑体" w:hAnsi="黑体" w:eastAsia="黑体" w:cs="宋体"/>
                <w:b/>
                <w:bCs/>
                <w:color w:val="auto"/>
                <w:kern w:val="0"/>
                <w:szCs w:val="21"/>
              </w:rPr>
              <w:t>（10分）</w:t>
            </w:r>
          </w:p>
        </w:tc>
        <w:tc>
          <w:tcPr>
            <w:tcW w:w="2500" w:type="pct"/>
            <w:vAlign w:val="center"/>
          </w:tcPr>
          <w:p>
            <w:pPr>
              <w:keepNext/>
              <w:widowControl/>
              <w:jc w:val="left"/>
              <w:rPr>
                <w:rFonts w:ascii="仿宋_GB2312" w:hAnsi="仿宋_GB2312" w:eastAsia="仿宋_GB2312" w:cs="仿宋_GB2312"/>
                <w:b/>
                <w:bCs/>
                <w:color w:val="auto"/>
                <w:kern w:val="0"/>
                <w:sz w:val="24"/>
              </w:rPr>
            </w:pPr>
            <w:r>
              <w:rPr>
                <w:rFonts w:hint="eastAsia" w:ascii="仿宋_GB2312" w:eastAsia="仿宋_GB2312"/>
                <w:color w:val="auto"/>
                <w:w w:val="90"/>
                <w:sz w:val="24"/>
              </w:rPr>
              <w:t>1</w:t>
            </w:r>
            <w:r>
              <w:rPr>
                <w:rFonts w:ascii="仿宋_GB2312" w:eastAsia="仿宋_GB2312"/>
                <w:color w:val="auto"/>
                <w:w w:val="90"/>
                <w:sz w:val="24"/>
              </w:rPr>
              <w:t>.</w:t>
            </w:r>
            <w:r>
              <w:rPr>
                <w:rFonts w:hint="eastAsia" w:ascii="仿宋_GB2312" w:eastAsia="仿宋_GB2312"/>
                <w:color w:val="auto"/>
                <w:w w:val="90"/>
                <w:sz w:val="24"/>
              </w:rPr>
              <w:t>领导班子坚强有力，团结协作，廉洁奉公，党政领导</w:t>
            </w:r>
            <w:r>
              <w:rPr>
                <w:rFonts w:hint="eastAsia" w:ascii="仿宋_GB2312" w:hAnsi="仿宋_GB2312" w:eastAsia="仿宋_GB2312" w:cs="仿宋_GB2312"/>
                <w:color w:val="auto"/>
                <w:kern w:val="0"/>
                <w:sz w:val="24"/>
              </w:rPr>
              <w:t>重视文明校园创建工作，设立组织领导机构，有专人负责具体工作，积极参与“五大创建”活动（“文明知识大学习”“文明习惯大养成”“环境卫生大清理”“办公（教学）秩序大整治”“文明创建大评比”）。视情况计1-6分</w:t>
            </w:r>
            <w:r>
              <w:rPr>
                <w:rFonts w:hint="eastAsia" w:ascii="仿宋_GB2312" w:hAnsi="仿宋_GB2312" w:eastAsia="仿宋_GB2312" w:cs="仿宋_GB2312"/>
                <w:color w:val="auto"/>
                <w:kern w:val="0"/>
                <w:sz w:val="24"/>
                <w:lang w:bidi="ar"/>
              </w:rPr>
              <w:t>。</w:t>
            </w:r>
          </w:p>
        </w:tc>
        <w:tc>
          <w:tcPr>
            <w:tcW w:w="949" w:type="pct"/>
            <w:vAlign w:val="center"/>
          </w:tcPr>
          <w:p>
            <w:pPr>
              <w:keepNext/>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提供相关文件制度和文字资料</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blHeader/>
        </w:trPr>
        <w:tc>
          <w:tcPr>
            <w:tcW w:w="537" w:type="pct"/>
            <w:vMerge w:val="continue"/>
            <w:vAlign w:val="center"/>
          </w:tcPr>
          <w:p>
            <w:pPr>
              <w:keepNext/>
              <w:widowControl/>
              <w:jc w:val="center"/>
              <w:rPr>
                <w:rFonts w:ascii="黑体" w:hAnsi="黑体" w:eastAsia="黑体"/>
                <w:b/>
                <w:bCs/>
                <w:color w:val="auto"/>
                <w:kern w:val="0"/>
                <w:szCs w:val="21"/>
              </w:rPr>
            </w:pPr>
          </w:p>
        </w:tc>
        <w:tc>
          <w:tcPr>
            <w:tcW w:w="650" w:type="pct"/>
            <w:vMerge w:val="continue"/>
            <w:vAlign w:val="center"/>
          </w:tcPr>
          <w:p>
            <w:pPr>
              <w:keepNext/>
              <w:widowControl/>
              <w:jc w:val="center"/>
              <w:rPr>
                <w:rFonts w:ascii="黑体" w:hAnsi="黑体" w:eastAsia="黑体" w:cs="楷体_GB2312"/>
                <w:b/>
                <w:bCs/>
                <w:color w:val="auto"/>
                <w:kern w:val="0"/>
                <w:szCs w:val="21"/>
              </w:rPr>
            </w:pPr>
          </w:p>
        </w:tc>
        <w:tc>
          <w:tcPr>
            <w:tcW w:w="2500" w:type="pct"/>
            <w:vAlign w:val="center"/>
          </w:tcPr>
          <w:p>
            <w:pPr>
              <w:keepNext/>
              <w:widowControl/>
              <w:jc w:val="left"/>
              <w:rPr>
                <w:rFonts w:ascii="仿宋_GB2312" w:hAnsi="仿宋_GB2312" w:eastAsia="仿宋_GB2312" w:cs="仿宋_GB2312"/>
                <w:b/>
                <w:bCs/>
                <w:color w:val="auto"/>
                <w:kern w:val="0"/>
                <w:sz w:val="24"/>
              </w:rPr>
            </w:pPr>
            <w:r>
              <w:rPr>
                <w:rFonts w:hint="eastAsia" w:ascii="仿宋_GB2312" w:hAnsi="仿宋_GB2312" w:eastAsia="仿宋_GB2312" w:cs="仿宋_GB2312"/>
                <w:color w:val="auto"/>
                <w:kern w:val="0"/>
                <w:sz w:val="24"/>
              </w:rPr>
              <w:t>2</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每年至少2次研究文明校园创建工作，有工作方案或工作台账，并在年度工作总结中进行专门总结，视情况计1-</w:t>
            </w:r>
            <w:r>
              <w:rPr>
                <w:rFonts w:ascii="仿宋_GB2312" w:hAnsi="仿宋_GB2312" w:eastAsia="仿宋_GB2312" w:cs="仿宋_GB2312"/>
                <w:color w:val="auto"/>
                <w:kern w:val="0"/>
                <w:sz w:val="24"/>
              </w:rPr>
              <w:t>4</w:t>
            </w:r>
            <w:r>
              <w:rPr>
                <w:rFonts w:hint="eastAsia" w:ascii="仿宋_GB2312" w:hAnsi="仿宋_GB2312" w:eastAsia="仿宋_GB2312" w:cs="仿宋_GB2312"/>
                <w:color w:val="auto"/>
                <w:kern w:val="0"/>
                <w:sz w:val="24"/>
              </w:rPr>
              <w:t>分。</w:t>
            </w:r>
          </w:p>
        </w:tc>
        <w:tc>
          <w:tcPr>
            <w:tcW w:w="949" w:type="pct"/>
            <w:vAlign w:val="center"/>
          </w:tcPr>
          <w:p>
            <w:pPr>
              <w:keepNext/>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提供相关文件制度和文字资料</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blHeader/>
        </w:trPr>
        <w:tc>
          <w:tcPr>
            <w:tcW w:w="537" w:type="pct"/>
            <w:vMerge w:val="restart"/>
            <w:vAlign w:val="center"/>
          </w:tcPr>
          <w:p>
            <w:pPr>
              <w:keepNext/>
              <w:widowControl/>
              <w:jc w:val="center"/>
              <w:rPr>
                <w:rFonts w:ascii="黑体" w:hAnsi="黑体" w:eastAsia="黑体"/>
                <w:b/>
                <w:bCs/>
                <w:color w:val="auto"/>
                <w:kern w:val="0"/>
                <w:szCs w:val="21"/>
              </w:rPr>
            </w:pPr>
            <w:r>
              <w:rPr>
                <w:rFonts w:hint="eastAsia" w:ascii="黑体" w:hAnsi="黑体" w:eastAsia="黑体"/>
                <w:b/>
                <w:bCs/>
                <w:color w:val="auto"/>
                <w:kern w:val="0"/>
                <w:szCs w:val="21"/>
              </w:rPr>
              <w:t>文明创建活动</w:t>
            </w:r>
          </w:p>
          <w:p>
            <w:pPr>
              <w:keepNext/>
              <w:widowControl/>
              <w:jc w:val="center"/>
              <w:rPr>
                <w:rFonts w:ascii="黑体" w:hAnsi="黑体" w:eastAsia="黑体"/>
                <w:b/>
                <w:bCs/>
                <w:color w:val="auto"/>
                <w:kern w:val="0"/>
                <w:szCs w:val="21"/>
              </w:rPr>
            </w:pPr>
            <w:r>
              <w:rPr>
                <w:rFonts w:hint="eastAsia" w:ascii="黑体" w:hAnsi="黑体" w:eastAsia="黑体" w:cs="黑体"/>
                <w:b/>
                <w:bCs/>
                <w:color w:val="auto"/>
                <w:kern w:val="0"/>
                <w:szCs w:val="21"/>
              </w:rPr>
              <w:t>（60%）</w:t>
            </w:r>
          </w:p>
        </w:tc>
        <w:tc>
          <w:tcPr>
            <w:tcW w:w="650" w:type="pct"/>
            <w:vMerge w:val="restart"/>
            <w:vAlign w:val="center"/>
          </w:tcPr>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日常思想</w:t>
            </w:r>
          </w:p>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政治教育</w:t>
            </w:r>
          </w:p>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（20分）</w:t>
            </w:r>
          </w:p>
        </w:tc>
        <w:tc>
          <w:tcPr>
            <w:tcW w:w="2500" w:type="pct"/>
            <w:vAlign w:val="center"/>
          </w:tcPr>
          <w:p>
            <w:pPr>
              <w:keepNext/>
              <w:widowControl/>
              <w:jc w:val="left"/>
              <w:rPr>
                <w:rFonts w:ascii="仿宋_GB2312" w:hAnsi="仿宋_GB2312" w:eastAsia="仿宋_GB2312" w:cs="仿宋_GB2312"/>
                <w:color w:val="auto"/>
                <w:kern w:val="0"/>
                <w:sz w:val="24"/>
              </w:rPr>
            </w:pPr>
            <w:r>
              <w:rPr>
                <w:rFonts w:hint="eastAsia" w:ascii="仿宋_GB2312" w:eastAsia="仿宋_GB2312"/>
                <w:color w:val="auto"/>
                <w:w w:val="90"/>
                <w:sz w:val="24"/>
              </w:rPr>
              <w:t>1．坚持</w:t>
            </w:r>
            <w:r>
              <w:rPr>
                <w:rFonts w:hint="eastAsia" w:ascii="仿宋_GB2312" w:eastAsia="仿宋_GB2312"/>
                <w:color w:val="auto"/>
                <w:spacing w:val="-4"/>
                <w:w w:val="90"/>
                <w:sz w:val="24"/>
              </w:rPr>
              <w:t>党委会“”第一议题”学习</w:t>
            </w:r>
            <w:r>
              <w:rPr>
                <w:rFonts w:hint="eastAsia" w:ascii="仿宋_GB2312" w:eastAsia="仿宋_GB2312"/>
                <w:color w:val="auto"/>
                <w:w w:val="90"/>
                <w:sz w:val="24"/>
              </w:rPr>
              <w:t>，党委理论学习中心组学习，教职工理论学习等多种学习方式，有学习计划，学习记录，领导干部理论学习档案（学习记录、心得体会等资料）健全。</w:t>
            </w:r>
            <w:r>
              <w:rPr>
                <w:rFonts w:hint="eastAsia" w:ascii="仿宋_GB2312" w:hAnsi="仿宋_GB2312" w:eastAsia="仿宋_GB2312" w:cs="仿宋_GB2312"/>
                <w:color w:val="auto"/>
                <w:kern w:val="0"/>
                <w:sz w:val="24"/>
              </w:rPr>
              <w:t>视效果</w:t>
            </w:r>
            <w:r>
              <w:rPr>
                <w:rFonts w:hint="eastAsia" w:ascii="仿宋_GB2312" w:eastAsia="仿宋_GB2312"/>
                <w:color w:val="auto"/>
                <w:w w:val="90"/>
                <w:sz w:val="24"/>
              </w:rPr>
              <w:t>1-3</w:t>
            </w:r>
            <w:r>
              <w:rPr>
                <w:rFonts w:ascii="仿宋_GB2312" w:eastAsia="仿宋_GB2312"/>
                <w:color w:val="auto"/>
                <w:w w:val="90"/>
                <w:sz w:val="24"/>
              </w:rPr>
              <w:t>分</w:t>
            </w:r>
            <w:r>
              <w:rPr>
                <w:rFonts w:hint="eastAsia" w:ascii="仿宋_GB2312" w:eastAsia="仿宋_GB2312"/>
                <w:color w:val="auto"/>
                <w:w w:val="90"/>
                <w:sz w:val="24"/>
              </w:rPr>
              <w:t>。</w:t>
            </w:r>
          </w:p>
        </w:tc>
        <w:tc>
          <w:tcPr>
            <w:tcW w:w="949" w:type="pct"/>
            <w:vAlign w:val="center"/>
          </w:tcPr>
          <w:p>
            <w:pPr>
              <w:keepNext/>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提供相关文件制度和文字资料</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blHeader/>
        </w:trPr>
        <w:tc>
          <w:tcPr>
            <w:tcW w:w="537" w:type="pct"/>
            <w:vMerge w:val="continue"/>
            <w:vAlign w:val="center"/>
          </w:tcPr>
          <w:p>
            <w:pPr>
              <w:keepNext/>
              <w:widowControl/>
              <w:jc w:val="center"/>
              <w:rPr>
                <w:rFonts w:ascii="黑体" w:hAnsi="黑体" w:eastAsia="黑体"/>
                <w:b/>
                <w:bCs/>
                <w:color w:val="auto"/>
                <w:kern w:val="0"/>
                <w:szCs w:val="21"/>
              </w:rPr>
            </w:pPr>
          </w:p>
        </w:tc>
        <w:tc>
          <w:tcPr>
            <w:tcW w:w="650" w:type="pct"/>
            <w:vMerge w:val="continue"/>
            <w:vAlign w:val="center"/>
          </w:tcPr>
          <w:p>
            <w:pPr>
              <w:keepNext/>
              <w:widowControl/>
              <w:jc w:val="center"/>
              <w:rPr>
                <w:rFonts w:ascii="黑体" w:hAnsi="黑体" w:eastAsia="黑体" w:cs="楷体_GB2312"/>
                <w:b/>
                <w:bCs/>
                <w:color w:val="auto"/>
                <w:kern w:val="0"/>
                <w:szCs w:val="21"/>
              </w:rPr>
            </w:pPr>
          </w:p>
        </w:tc>
        <w:tc>
          <w:tcPr>
            <w:tcW w:w="2500" w:type="pct"/>
            <w:vAlign w:val="center"/>
          </w:tcPr>
          <w:p>
            <w:pPr>
              <w:keepNext/>
              <w:widowControl/>
              <w:jc w:val="left"/>
              <w:rPr>
                <w:rFonts w:ascii="仿宋_GB2312" w:hAnsi="仿宋_GB2312" w:eastAsia="仿宋_GB2312" w:cs="仿宋_GB2312"/>
                <w:color w:val="auto"/>
                <w:kern w:val="0"/>
                <w:sz w:val="24"/>
              </w:rPr>
            </w:pPr>
            <w:r>
              <w:rPr>
                <w:rFonts w:hint="eastAsia" w:ascii="仿宋_GB2312" w:eastAsia="仿宋_GB2312"/>
                <w:color w:val="auto"/>
                <w:w w:val="90"/>
                <w:sz w:val="24"/>
              </w:rPr>
              <w:t>2</w:t>
            </w:r>
            <w:r>
              <w:rPr>
                <w:rFonts w:hint="eastAsia" w:ascii="楷体_GB2312" w:hAnsi="宋体" w:eastAsia="楷体_GB2312" w:cs="宋体"/>
                <w:color w:val="auto"/>
                <w:kern w:val="0"/>
                <w:sz w:val="24"/>
              </w:rPr>
              <w:t>.</w:t>
            </w:r>
            <w:r>
              <w:rPr>
                <w:rFonts w:hint="eastAsia" w:ascii="仿宋_GB2312" w:eastAsia="仿宋_GB2312"/>
                <w:color w:val="auto"/>
                <w:w w:val="90"/>
                <w:sz w:val="24"/>
              </w:rPr>
              <w:t>在社团活动、社会实践、网络宣传等日常思想政治教育中开展形式多样的社会主义核心价值观教育。</w:t>
            </w:r>
            <w:r>
              <w:rPr>
                <w:rFonts w:hint="eastAsia" w:ascii="仿宋_GB2312" w:hAnsi="仿宋_GB2312" w:eastAsia="仿宋_GB2312" w:cs="仿宋_GB2312"/>
                <w:color w:val="auto"/>
                <w:kern w:val="0"/>
                <w:sz w:val="24"/>
              </w:rPr>
              <w:t>视效果</w:t>
            </w:r>
            <w:r>
              <w:rPr>
                <w:rFonts w:hint="eastAsia" w:ascii="仿宋_GB2312" w:eastAsia="仿宋_GB2312"/>
                <w:color w:val="auto"/>
                <w:w w:val="90"/>
                <w:sz w:val="24"/>
              </w:rPr>
              <w:t>1-</w:t>
            </w:r>
            <w:r>
              <w:rPr>
                <w:rFonts w:ascii="仿宋_GB2312" w:eastAsia="仿宋_GB2312"/>
                <w:color w:val="auto"/>
                <w:w w:val="90"/>
                <w:sz w:val="24"/>
              </w:rPr>
              <w:t>3分</w:t>
            </w:r>
            <w:r>
              <w:rPr>
                <w:rFonts w:hint="eastAsia" w:ascii="仿宋_GB2312" w:eastAsia="仿宋_GB2312"/>
                <w:color w:val="auto"/>
                <w:w w:val="90"/>
                <w:sz w:val="24"/>
              </w:rPr>
              <w:t>。</w:t>
            </w:r>
          </w:p>
        </w:tc>
        <w:tc>
          <w:tcPr>
            <w:tcW w:w="949" w:type="pct"/>
            <w:vMerge w:val="restart"/>
            <w:vAlign w:val="center"/>
          </w:tcPr>
          <w:p>
            <w:pPr>
              <w:keepNext/>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提供开展相关活动的图片、新闻报道和文字资料</w:t>
            </w:r>
          </w:p>
        </w:tc>
        <w:tc>
          <w:tcPr>
            <w:tcW w:w="361" w:type="pct"/>
            <w:vAlign w:val="center"/>
          </w:tcPr>
          <w:p>
            <w:pPr>
              <w:keepNext/>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blHeader/>
        </w:trPr>
        <w:tc>
          <w:tcPr>
            <w:tcW w:w="537" w:type="pct"/>
            <w:vMerge w:val="continue"/>
            <w:vAlign w:val="center"/>
          </w:tcPr>
          <w:p>
            <w:pPr>
              <w:keepNext/>
              <w:widowControl/>
              <w:jc w:val="center"/>
              <w:rPr>
                <w:rFonts w:ascii="黑体" w:hAnsi="黑体" w:eastAsia="黑体"/>
                <w:b/>
                <w:bCs/>
                <w:color w:val="auto"/>
                <w:kern w:val="0"/>
                <w:szCs w:val="21"/>
              </w:rPr>
            </w:pPr>
          </w:p>
        </w:tc>
        <w:tc>
          <w:tcPr>
            <w:tcW w:w="650" w:type="pct"/>
            <w:vMerge w:val="continue"/>
            <w:vAlign w:val="center"/>
          </w:tcPr>
          <w:p>
            <w:pPr>
              <w:keepNext/>
              <w:widowControl/>
              <w:jc w:val="center"/>
              <w:rPr>
                <w:rFonts w:ascii="黑体" w:hAnsi="黑体" w:eastAsia="黑体" w:cs="楷体_GB2312"/>
                <w:b/>
                <w:bCs/>
                <w:color w:val="auto"/>
                <w:kern w:val="0"/>
                <w:szCs w:val="21"/>
              </w:rPr>
            </w:pPr>
          </w:p>
        </w:tc>
        <w:tc>
          <w:tcPr>
            <w:tcW w:w="2500" w:type="pct"/>
            <w:vAlign w:val="center"/>
          </w:tcPr>
          <w:p>
            <w:pPr>
              <w:keepNext/>
              <w:widowControl/>
              <w:jc w:val="left"/>
              <w:rPr>
                <w:rFonts w:ascii="楷体_GB2312" w:hAnsi="宋体" w:eastAsia="楷体_GB2312" w:cs="宋体"/>
                <w:color w:val="auto"/>
                <w:kern w:val="0"/>
                <w:sz w:val="24"/>
              </w:rPr>
            </w:pPr>
            <w:r>
              <w:rPr>
                <w:rFonts w:hint="eastAsia" w:ascii="仿宋_GB2312" w:hAnsi="仿宋_GB2312" w:eastAsia="仿宋_GB2312" w:cs="仿宋_GB2312"/>
                <w:color w:val="auto"/>
                <w:kern w:val="0"/>
                <w:sz w:val="24"/>
              </w:rPr>
              <w:t>3.经常性开展社会公德、职业道德、家庭美德、个人品德教育，培育和选树学习励志、实践奉献、诚信友善、创新创业、志愿服务等方面的典型。视效果1-</w:t>
            </w:r>
            <w:r>
              <w:rPr>
                <w:rFonts w:ascii="仿宋_GB2312" w:hAnsi="仿宋_GB2312" w:eastAsia="仿宋_GB2312" w:cs="仿宋_GB2312"/>
                <w:color w:val="auto"/>
                <w:kern w:val="0"/>
                <w:sz w:val="24"/>
              </w:rPr>
              <w:t>3分</w:t>
            </w:r>
            <w:r>
              <w:rPr>
                <w:rFonts w:hint="eastAsia" w:ascii="仿宋_GB2312" w:hAnsi="仿宋_GB2312" w:eastAsia="仿宋_GB2312" w:cs="仿宋_GB2312"/>
                <w:color w:val="auto"/>
                <w:kern w:val="0"/>
                <w:sz w:val="24"/>
              </w:rPr>
              <w:t>。</w:t>
            </w:r>
          </w:p>
        </w:tc>
        <w:tc>
          <w:tcPr>
            <w:tcW w:w="949" w:type="pct"/>
            <w:vMerge w:val="continue"/>
            <w:vAlign w:val="center"/>
          </w:tcPr>
          <w:p>
            <w:pPr>
              <w:keepNext/>
              <w:widowControl/>
              <w:jc w:val="center"/>
              <w:rPr>
                <w:rFonts w:ascii="仿宋_GB2312" w:hAnsi="仿宋_GB2312" w:eastAsia="仿宋_GB2312" w:cs="仿宋_GB2312"/>
                <w:color w:val="auto"/>
                <w:kern w:val="0"/>
                <w:sz w:val="24"/>
              </w:rPr>
            </w:pP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tblHeader/>
        </w:trPr>
        <w:tc>
          <w:tcPr>
            <w:tcW w:w="537" w:type="pct"/>
            <w:vMerge w:val="continue"/>
            <w:vAlign w:val="center"/>
          </w:tcPr>
          <w:p>
            <w:pPr>
              <w:keepNext/>
              <w:widowControl/>
              <w:jc w:val="center"/>
              <w:rPr>
                <w:rFonts w:ascii="黑体" w:hAnsi="黑体" w:eastAsia="黑体"/>
                <w:b/>
                <w:bCs/>
                <w:color w:val="auto"/>
                <w:kern w:val="0"/>
                <w:szCs w:val="21"/>
              </w:rPr>
            </w:pPr>
          </w:p>
        </w:tc>
        <w:tc>
          <w:tcPr>
            <w:tcW w:w="650" w:type="pct"/>
            <w:vMerge w:val="continue"/>
            <w:vAlign w:val="center"/>
          </w:tcPr>
          <w:p>
            <w:pPr>
              <w:keepNext/>
              <w:widowControl/>
              <w:jc w:val="center"/>
              <w:rPr>
                <w:rFonts w:ascii="黑体" w:hAnsi="黑体" w:eastAsia="黑体" w:cs="楷体_GB2312"/>
                <w:b/>
                <w:bCs/>
                <w:color w:val="auto"/>
                <w:kern w:val="0"/>
                <w:szCs w:val="21"/>
              </w:rPr>
            </w:pPr>
          </w:p>
        </w:tc>
        <w:tc>
          <w:tcPr>
            <w:tcW w:w="2500" w:type="pct"/>
            <w:vAlign w:val="center"/>
          </w:tcPr>
          <w:p>
            <w:pPr>
              <w:keepNext/>
              <w:widowControl/>
              <w:jc w:val="left"/>
              <w:rPr>
                <w:rFonts w:ascii="仿宋_GB2312" w:hAnsi="仿宋_GB2312" w:eastAsia="仿宋_GB2312" w:cs="仿宋_GB2312"/>
                <w:b/>
                <w:bCs/>
                <w:color w:val="auto"/>
                <w:kern w:val="0"/>
                <w:sz w:val="24"/>
              </w:rPr>
            </w:pPr>
            <w:r>
              <w:rPr>
                <w:rFonts w:hint="eastAsia" w:ascii="仿宋_GB2312" w:hAnsi="仿宋_GB2312" w:eastAsia="仿宋_GB2312" w:cs="仿宋_GB2312"/>
                <w:color w:val="auto"/>
                <w:kern w:val="0"/>
                <w:sz w:val="24"/>
              </w:rPr>
              <w:t>4</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利用重要节庆日、纪念日和重大活动，广泛开展以爱国主义为核心的民族精神和以改革创新为核心的时代精神宣传教育，引导师生坚定道路自信、理论自信、制度自信、文化自信，视效果计1-3分。</w:t>
            </w:r>
          </w:p>
        </w:tc>
        <w:tc>
          <w:tcPr>
            <w:tcW w:w="949" w:type="pct"/>
            <w:vMerge w:val="continue"/>
            <w:vAlign w:val="center"/>
          </w:tcPr>
          <w:p>
            <w:pPr>
              <w:keepNext/>
              <w:widowControl/>
              <w:jc w:val="center"/>
              <w:rPr>
                <w:rFonts w:ascii="仿宋_GB2312" w:hAnsi="仿宋_GB2312" w:eastAsia="仿宋_GB2312" w:cs="仿宋_GB2312"/>
                <w:color w:val="auto"/>
                <w:kern w:val="0"/>
                <w:sz w:val="24"/>
              </w:rPr>
            </w:pP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blHeader/>
        </w:trPr>
        <w:tc>
          <w:tcPr>
            <w:tcW w:w="537"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一级指标</w:t>
            </w:r>
          </w:p>
        </w:tc>
        <w:tc>
          <w:tcPr>
            <w:tcW w:w="650"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二级指标</w:t>
            </w:r>
          </w:p>
        </w:tc>
        <w:tc>
          <w:tcPr>
            <w:tcW w:w="2500"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评价标准</w:t>
            </w:r>
          </w:p>
        </w:tc>
        <w:tc>
          <w:tcPr>
            <w:tcW w:w="949"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评价方式</w:t>
            </w:r>
          </w:p>
        </w:tc>
        <w:tc>
          <w:tcPr>
            <w:tcW w:w="361"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ascii="黑体" w:hAnsi="宋体" w:eastAsia="黑体" w:cs="宋体"/>
                <w:b/>
                <w:bCs/>
                <w:color w:val="auto"/>
                <w:kern w:val="0"/>
                <w:sz w:val="24"/>
              </w:rPr>
              <w:t>自评</w:t>
            </w:r>
          </w:p>
          <w:p>
            <w:pPr>
              <w:keepNext/>
              <w:widowControl/>
              <w:jc w:val="center"/>
              <w:rPr>
                <w:rFonts w:ascii="黑体" w:hAnsi="宋体" w:eastAsia="黑体" w:cs="宋体"/>
                <w:b/>
                <w:bCs/>
                <w:color w:val="auto"/>
                <w:kern w:val="0"/>
                <w:sz w:val="24"/>
              </w:rPr>
            </w:pPr>
            <w:r>
              <w:rPr>
                <w:rFonts w:ascii="黑体" w:hAnsi="宋体" w:eastAsia="黑体" w:cs="宋体"/>
                <w:b/>
                <w:bCs/>
                <w:color w:val="auto"/>
                <w:kern w:val="0"/>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atLeast"/>
          <w:tblHeader/>
        </w:trPr>
        <w:tc>
          <w:tcPr>
            <w:tcW w:w="537" w:type="pct"/>
            <w:vMerge w:val="restart"/>
            <w:vAlign w:val="center"/>
          </w:tcPr>
          <w:p>
            <w:pPr>
              <w:keepNext/>
              <w:widowControl/>
              <w:jc w:val="center"/>
              <w:rPr>
                <w:rFonts w:ascii="黑体" w:hAnsi="黑体" w:eastAsia="黑体"/>
                <w:b/>
                <w:bCs/>
                <w:color w:val="auto"/>
                <w:kern w:val="0"/>
                <w:szCs w:val="21"/>
              </w:rPr>
            </w:pPr>
            <w:r>
              <w:rPr>
                <w:rFonts w:hint="eastAsia" w:ascii="黑体" w:hAnsi="黑体" w:eastAsia="黑体"/>
                <w:b/>
                <w:bCs/>
                <w:color w:val="auto"/>
                <w:kern w:val="0"/>
                <w:szCs w:val="21"/>
              </w:rPr>
              <w:t>文明创建活动</w:t>
            </w:r>
          </w:p>
          <w:p>
            <w:pPr>
              <w:keepNext/>
              <w:widowControl/>
              <w:jc w:val="center"/>
              <w:rPr>
                <w:rFonts w:ascii="黑体" w:hAnsi="黑体" w:eastAsia="黑体"/>
                <w:b/>
                <w:bCs/>
                <w:color w:val="auto"/>
                <w:kern w:val="0"/>
                <w:szCs w:val="21"/>
              </w:rPr>
            </w:pPr>
            <w:r>
              <w:rPr>
                <w:rFonts w:hint="eastAsia" w:ascii="黑体" w:hAnsi="黑体" w:eastAsia="黑体" w:cs="黑体"/>
                <w:b/>
                <w:bCs/>
                <w:color w:val="auto"/>
                <w:kern w:val="0"/>
                <w:szCs w:val="21"/>
              </w:rPr>
              <w:t>（60%）</w:t>
            </w:r>
          </w:p>
        </w:tc>
        <w:tc>
          <w:tcPr>
            <w:tcW w:w="650" w:type="pct"/>
            <w:vMerge w:val="restart"/>
            <w:vAlign w:val="center"/>
          </w:tcPr>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日常思想</w:t>
            </w:r>
          </w:p>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政治教育</w:t>
            </w:r>
          </w:p>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（20分）</w:t>
            </w:r>
          </w:p>
        </w:tc>
        <w:tc>
          <w:tcPr>
            <w:tcW w:w="2500" w:type="pct"/>
            <w:vAlign w:val="center"/>
          </w:tcPr>
          <w:p>
            <w:pPr>
              <w:keepNext/>
              <w:widowControl/>
              <w:jc w:val="left"/>
              <w:rPr>
                <w:rFonts w:ascii="仿宋_GB2312" w:hAnsi="仿宋_GB2312" w:eastAsia="仿宋_GB2312" w:cs="仿宋_GB2312"/>
                <w:b/>
                <w:bCs/>
                <w:color w:val="auto"/>
                <w:kern w:val="0"/>
                <w:sz w:val="24"/>
              </w:rPr>
            </w:pPr>
            <w:r>
              <w:rPr>
                <w:rFonts w:ascii="仿宋_GB2312" w:hAnsi="仿宋_GB2312" w:eastAsia="仿宋_GB2312" w:cs="仿宋_GB2312"/>
                <w:color w:val="auto"/>
                <w:kern w:val="0"/>
                <w:sz w:val="24"/>
              </w:rPr>
              <w:t>5.</w:t>
            </w:r>
            <w:r>
              <w:rPr>
                <w:rFonts w:hint="eastAsia" w:ascii="仿宋_GB2312" w:hAnsi="仿宋_GB2312" w:eastAsia="仿宋_GB2312" w:cs="仿宋_GB2312"/>
                <w:color w:val="auto"/>
                <w:kern w:val="0"/>
                <w:sz w:val="24"/>
              </w:rPr>
              <w:t>开展中华优秀传统文化教育，加强革命文化和社会主义先进文化教育，开展党史、国史、改革开放史、社会主义发展史学习教育，视效果计1-</w:t>
            </w:r>
            <w:r>
              <w:rPr>
                <w:rFonts w:ascii="仿宋_GB2312" w:hAnsi="仿宋_GB2312" w:eastAsia="仿宋_GB2312" w:cs="仿宋_GB2312"/>
                <w:color w:val="auto"/>
                <w:kern w:val="0"/>
                <w:sz w:val="24"/>
              </w:rPr>
              <w:t>2</w:t>
            </w:r>
            <w:r>
              <w:rPr>
                <w:rFonts w:hint="eastAsia" w:ascii="仿宋_GB2312" w:hAnsi="仿宋_GB2312" w:eastAsia="仿宋_GB2312" w:cs="仿宋_GB2312"/>
                <w:color w:val="auto"/>
                <w:kern w:val="0"/>
                <w:sz w:val="24"/>
              </w:rPr>
              <w:t>分。</w:t>
            </w:r>
          </w:p>
        </w:tc>
        <w:tc>
          <w:tcPr>
            <w:tcW w:w="949" w:type="pct"/>
            <w:vMerge w:val="restart"/>
            <w:vAlign w:val="center"/>
          </w:tcPr>
          <w:p>
            <w:pPr>
              <w:keepNext/>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提供开展相关活动的图片、新闻报道和文字资料</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blHeader/>
        </w:trPr>
        <w:tc>
          <w:tcPr>
            <w:tcW w:w="537" w:type="pct"/>
            <w:vMerge w:val="continue"/>
            <w:vAlign w:val="center"/>
          </w:tcPr>
          <w:p>
            <w:pPr>
              <w:keepNext/>
              <w:jc w:val="center"/>
              <w:rPr>
                <w:rFonts w:ascii="黑体" w:hAnsi="黑体" w:eastAsia="黑体"/>
                <w:b/>
                <w:bCs/>
                <w:color w:val="auto"/>
                <w:kern w:val="0"/>
                <w:szCs w:val="21"/>
              </w:rPr>
            </w:pPr>
          </w:p>
        </w:tc>
        <w:tc>
          <w:tcPr>
            <w:tcW w:w="650" w:type="pct"/>
            <w:vMerge w:val="continue"/>
            <w:vAlign w:val="center"/>
          </w:tcPr>
          <w:p>
            <w:pPr>
              <w:keepNext/>
              <w:widowControl/>
              <w:jc w:val="center"/>
              <w:rPr>
                <w:rFonts w:ascii="黑体" w:hAnsi="黑体" w:eastAsia="黑体"/>
                <w:b/>
                <w:bCs/>
                <w:color w:val="auto"/>
                <w:kern w:val="0"/>
                <w:szCs w:val="21"/>
              </w:rPr>
            </w:pPr>
          </w:p>
        </w:tc>
        <w:tc>
          <w:tcPr>
            <w:tcW w:w="2500" w:type="pct"/>
            <w:vAlign w:val="center"/>
          </w:tcPr>
          <w:p>
            <w:pPr>
              <w:keepNext/>
              <w:widowControl/>
              <w:jc w:val="left"/>
              <w:rPr>
                <w:rFonts w:ascii="仿宋_GB2312" w:hAnsi="仿宋_GB2312" w:eastAsia="仿宋_GB2312" w:cs="仿宋_GB2312"/>
                <w:b/>
                <w:bCs/>
                <w:color w:val="auto"/>
                <w:kern w:val="0"/>
                <w:sz w:val="24"/>
              </w:rPr>
            </w:pPr>
            <w:r>
              <w:rPr>
                <w:rFonts w:hint="eastAsia" w:ascii="仿宋_GB2312" w:hAnsi="仿宋_GB2312" w:eastAsia="仿宋_GB2312" w:cs="仿宋_GB2312"/>
                <w:color w:val="auto"/>
                <w:kern w:val="0"/>
                <w:sz w:val="24"/>
              </w:rPr>
              <w:t>6</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注重开展网络文明教育、网络安全教育，培育有高度的安全意识、有文明的网络素养、有守法的行为习惯、有必备的防护技能的校园“四有”好网民，视效果计1-2分。</w:t>
            </w:r>
          </w:p>
        </w:tc>
        <w:tc>
          <w:tcPr>
            <w:tcW w:w="949" w:type="pct"/>
            <w:vMerge w:val="continue"/>
            <w:vAlign w:val="center"/>
          </w:tcPr>
          <w:p>
            <w:pPr>
              <w:keepNext/>
              <w:widowControl/>
              <w:jc w:val="center"/>
              <w:rPr>
                <w:rFonts w:ascii="仿宋_GB2312" w:hAnsi="仿宋_GB2312" w:eastAsia="仿宋_GB2312" w:cs="仿宋_GB2312"/>
                <w:color w:val="auto"/>
                <w:kern w:val="0"/>
                <w:sz w:val="24"/>
              </w:rPr>
            </w:pP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blHeader/>
        </w:trPr>
        <w:tc>
          <w:tcPr>
            <w:tcW w:w="537" w:type="pct"/>
            <w:vMerge w:val="continue"/>
            <w:vAlign w:val="center"/>
          </w:tcPr>
          <w:p>
            <w:pPr>
              <w:keepNext/>
              <w:jc w:val="center"/>
              <w:rPr>
                <w:rFonts w:ascii="黑体" w:hAnsi="黑体" w:eastAsia="黑体"/>
                <w:b/>
                <w:bCs/>
                <w:color w:val="auto"/>
                <w:kern w:val="0"/>
                <w:szCs w:val="21"/>
              </w:rPr>
            </w:pPr>
          </w:p>
        </w:tc>
        <w:tc>
          <w:tcPr>
            <w:tcW w:w="650" w:type="pct"/>
            <w:vMerge w:val="continue"/>
            <w:vAlign w:val="center"/>
          </w:tcPr>
          <w:p>
            <w:pPr>
              <w:keepNext/>
              <w:widowControl/>
              <w:jc w:val="center"/>
              <w:rPr>
                <w:rFonts w:ascii="黑体" w:hAnsi="黑体" w:eastAsia="黑体"/>
                <w:b/>
                <w:bCs/>
                <w:color w:val="auto"/>
                <w:kern w:val="0"/>
                <w:szCs w:val="21"/>
              </w:rPr>
            </w:pPr>
          </w:p>
        </w:tc>
        <w:tc>
          <w:tcPr>
            <w:tcW w:w="2500" w:type="pct"/>
            <w:vAlign w:val="center"/>
          </w:tcPr>
          <w:p>
            <w:pPr>
              <w:keepNext/>
              <w:widowControl/>
              <w:jc w:val="left"/>
              <w:rPr>
                <w:rFonts w:ascii="仿宋_GB2312" w:hAnsi="仿宋_GB2312" w:eastAsia="仿宋_GB2312" w:cs="仿宋_GB2312"/>
                <w:b/>
                <w:bCs/>
                <w:color w:val="auto"/>
                <w:kern w:val="0"/>
                <w:sz w:val="24"/>
              </w:rPr>
            </w:pPr>
            <w:r>
              <w:rPr>
                <w:rFonts w:hint="eastAsia" w:ascii="仿宋_GB2312" w:hAnsi="仿宋_GB2312" w:eastAsia="仿宋_GB2312" w:cs="仿宋_GB2312"/>
                <w:color w:val="auto"/>
                <w:kern w:val="0"/>
                <w:sz w:val="24"/>
              </w:rPr>
              <w:t>7</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开展诚信主题教育活动，加强学风建设和科学道德教育，视效果计1-</w:t>
            </w:r>
            <w:r>
              <w:rPr>
                <w:rFonts w:ascii="仿宋_GB2312" w:hAnsi="仿宋_GB2312" w:eastAsia="仿宋_GB2312" w:cs="仿宋_GB2312"/>
                <w:color w:val="auto"/>
                <w:kern w:val="0"/>
                <w:sz w:val="24"/>
              </w:rPr>
              <w:t>2</w:t>
            </w:r>
            <w:r>
              <w:rPr>
                <w:rFonts w:hint="eastAsia" w:ascii="仿宋_GB2312" w:hAnsi="仿宋_GB2312" w:eastAsia="仿宋_GB2312" w:cs="仿宋_GB2312"/>
                <w:color w:val="auto"/>
                <w:kern w:val="0"/>
                <w:sz w:val="24"/>
              </w:rPr>
              <w:t>分。</w:t>
            </w:r>
          </w:p>
        </w:tc>
        <w:tc>
          <w:tcPr>
            <w:tcW w:w="949" w:type="pct"/>
            <w:vMerge w:val="continue"/>
            <w:vAlign w:val="center"/>
          </w:tcPr>
          <w:p>
            <w:pPr>
              <w:keepNext/>
              <w:widowControl/>
              <w:jc w:val="center"/>
              <w:rPr>
                <w:rFonts w:ascii="仿宋_GB2312" w:hAnsi="仿宋_GB2312" w:eastAsia="仿宋_GB2312" w:cs="仿宋_GB2312"/>
                <w:color w:val="auto"/>
                <w:kern w:val="0"/>
                <w:sz w:val="24"/>
              </w:rPr>
            </w:pP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blHeader/>
        </w:trPr>
        <w:tc>
          <w:tcPr>
            <w:tcW w:w="537" w:type="pct"/>
            <w:vMerge w:val="continue"/>
            <w:vAlign w:val="center"/>
          </w:tcPr>
          <w:p>
            <w:pPr>
              <w:keepNext/>
              <w:jc w:val="center"/>
              <w:rPr>
                <w:rFonts w:ascii="黑体" w:hAnsi="黑体" w:eastAsia="黑体"/>
                <w:b/>
                <w:bCs/>
                <w:color w:val="auto"/>
                <w:kern w:val="0"/>
                <w:szCs w:val="21"/>
              </w:rPr>
            </w:pPr>
          </w:p>
        </w:tc>
        <w:tc>
          <w:tcPr>
            <w:tcW w:w="650" w:type="pct"/>
            <w:vMerge w:val="continue"/>
            <w:vAlign w:val="center"/>
          </w:tcPr>
          <w:p>
            <w:pPr>
              <w:keepNext/>
              <w:widowControl/>
              <w:jc w:val="center"/>
              <w:rPr>
                <w:rFonts w:ascii="黑体" w:hAnsi="黑体" w:eastAsia="黑体"/>
                <w:b/>
                <w:bCs/>
                <w:color w:val="auto"/>
                <w:kern w:val="0"/>
                <w:szCs w:val="21"/>
              </w:rPr>
            </w:pPr>
          </w:p>
        </w:tc>
        <w:tc>
          <w:tcPr>
            <w:tcW w:w="2500" w:type="pct"/>
            <w:vAlign w:val="center"/>
          </w:tcPr>
          <w:p>
            <w:pPr>
              <w:keepNext/>
              <w:widowControl/>
              <w:jc w:val="left"/>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8</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开展法治宣传教育活动，增强师生尊法学法守法用法意识。视效果计1-</w:t>
            </w:r>
            <w:r>
              <w:rPr>
                <w:rFonts w:ascii="仿宋_GB2312" w:hAnsi="仿宋_GB2312" w:eastAsia="仿宋_GB2312" w:cs="仿宋_GB2312"/>
                <w:color w:val="auto"/>
                <w:kern w:val="0"/>
                <w:sz w:val="24"/>
              </w:rPr>
              <w:t>2</w:t>
            </w:r>
            <w:r>
              <w:rPr>
                <w:rFonts w:hint="eastAsia" w:ascii="仿宋_GB2312" w:hAnsi="仿宋_GB2312" w:eastAsia="仿宋_GB2312" w:cs="仿宋_GB2312"/>
                <w:color w:val="auto"/>
                <w:kern w:val="0"/>
                <w:sz w:val="24"/>
              </w:rPr>
              <w:t>分。</w:t>
            </w:r>
          </w:p>
        </w:tc>
        <w:tc>
          <w:tcPr>
            <w:tcW w:w="949" w:type="pct"/>
            <w:vMerge w:val="continue"/>
            <w:vAlign w:val="center"/>
          </w:tcPr>
          <w:p>
            <w:pPr>
              <w:keepNext/>
              <w:widowControl/>
              <w:jc w:val="center"/>
              <w:rPr>
                <w:rFonts w:ascii="仿宋_GB2312" w:hAnsi="仿宋_GB2312" w:eastAsia="仿宋_GB2312" w:cs="仿宋_GB2312"/>
                <w:color w:val="auto"/>
                <w:kern w:val="0"/>
                <w:sz w:val="24"/>
              </w:rPr>
            </w:pP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blHeader/>
        </w:trPr>
        <w:tc>
          <w:tcPr>
            <w:tcW w:w="537" w:type="pct"/>
            <w:vMerge w:val="continue"/>
            <w:vAlign w:val="center"/>
          </w:tcPr>
          <w:p>
            <w:pPr>
              <w:keepNext/>
              <w:widowControl/>
              <w:jc w:val="center"/>
              <w:rPr>
                <w:rFonts w:ascii="黑体" w:hAnsi="黑体" w:eastAsia="黑体"/>
                <w:b/>
                <w:bCs/>
                <w:color w:val="auto"/>
                <w:kern w:val="0"/>
                <w:szCs w:val="21"/>
              </w:rPr>
            </w:pPr>
          </w:p>
        </w:tc>
        <w:tc>
          <w:tcPr>
            <w:tcW w:w="650" w:type="pct"/>
            <w:vMerge w:val="restart"/>
            <w:vAlign w:val="center"/>
          </w:tcPr>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师德师风</w:t>
            </w:r>
          </w:p>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建设</w:t>
            </w:r>
          </w:p>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w:t>
            </w:r>
            <w:r>
              <w:rPr>
                <w:rFonts w:ascii="黑体" w:hAnsi="黑体" w:eastAsia="黑体" w:cs="楷体_GB2312"/>
                <w:b/>
                <w:bCs/>
                <w:color w:val="auto"/>
                <w:kern w:val="0"/>
                <w:szCs w:val="21"/>
              </w:rPr>
              <w:t>10</w:t>
            </w:r>
            <w:r>
              <w:rPr>
                <w:rFonts w:hint="eastAsia" w:ascii="黑体" w:hAnsi="黑体" w:eastAsia="黑体" w:cs="楷体_GB2312"/>
                <w:b/>
                <w:bCs/>
                <w:color w:val="auto"/>
                <w:kern w:val="0"/>
                <w:szCs w:val="21"/>
              </w:rPr>
              <w:t>分）</w:t>
            </w:r>
          </w:p>
        </w:tc>
        <w:tc>
          <w:tcPr>
            <w:tcW w:w="2500" w:type="pct"/>
            <w:vAlign w:val="center"/>
          </w:tcPr>
          <w:p>
            <w:pPr>
              <w:keepNext/>
              <w:widowControl/>
              <w:jc w:val="left"/>
              <w:rPr>
                <w:rFonts w:ascii="仿宋_GB2312" w:hAnsi="仿宋_GB2312" w:eastAsia="仿宋_GB2312" w:cs="仿宋_GB2312"/>
                <w:b/>
                <w:bCs/>
                <w:color w:val="auto"/>
                <w:kern w:val="0"/>
                <w:sz w:val="24"/>
              </w:rPr>
            </w:pPr>
            <w:r>
              <w:rPr>
                <w:rFonts w:hint="eastAsia" w:ascii="仿宋_GB2312" w:hAnsi="仿宋_GB2312" w:eastAsia="仿宋_GB2312" w:cs="仿宋_GB2312"/>
                <w:color w:val="auto"/>
                <w:kern w:val="0"/>
                <w:sz w:val="24"/>
              </w:rPr>
              <w:t>1</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在新教工的招聘中开展思想政治状况审查，建立健全长效化的青年教师思想政治工作机制，视效果计1-</w:t>
            </w:r>
            <w:r>
              <w:rPr>
                <w:rFonts w:ascii="仿宋_GB2312" w:hAnsi="仿宋_GB2312" w:eastAsia="仿宋_GB2312" w:cs="仿宋_GB2312"/>
                <w:color w:val="auto"/>
                <w:kern w:val="0"/>
                <w:sz w:val="24"/>
              </w:rPr>
              <w:t>3</w:t>
            </w:r>
            <w:r>
              <w:rPr>
                <w:rFonts w:hint="eastAsia" w:ascii="仿宋_GB2312" w:hAnsi="仿宋_GB2312" w:eastAsia="仿宋_GB2312" w:cs="仿宋_GB2312"/>
                <w:color w:val="auto"/>
                <w:kern w:val="0"/>
                <w:sz w:val="24"/>
              </w:rPr>
              <w:t>分。</w:t>
            </w:r>
          </w:p>
        </w:tc>
        <w:tc>
          <w:tcPr>
            <w:tcW w:w="949" w:type="pct"/>
            <w:vAlign w:val="center"/>
          </w:tcPr>
          <w:p>
            <w:pPr>
              <w:keepNext/>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提供相关文件制度和文字资料</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blHeader/>
        </w:trPr>
        <w:tc>
          <w:tcPr>
            <w:tcW w:w="537" w:type="pct"/>
            <w:vMerge w:val="continue"/>
            <w:vAlign w:val="center"/>
          </w:tcPr>
          <w:p>
            <w:pPr>
              <w:keepNext/>
              <w:widowControl/>
              <w:jc w:val="center"/>
              <w:rPr>
                <w:rFonts w:ascii="黑体" w:hAnsi="黑体" w:eastAsia="黑体"/>
                <w:b/>
                <w:bCs/>
                <w:color w:val="auto"/>
                <w:kern w:val="0"/>
                <w:szCs w:val="21"/>
              </w:rPr>
            </w:pPr>
          </w:p>
        </w:tc>
        <w:tc>
          <w:tcPr>
            <w:tcW w:w="650" w:type="pct"/>
            <w:vMerge w:val="continue"/>
            <w:vAlign w:val="center"/>
          </w:tcPr>
          <w:p>
            <w:pPr>
              <w:keepNext/>
              <w:widowControl/>
              <w:jc w:val="center"/>
              <w:rPr>
                <w:rFonts w:ascii="黑体" w:hAnsi="黑体" w:eastAsia="黑体"/>
                <w:b/>
                <w:bCs/>
                <w:color w:val="auto"/>
                <w:kern w:val="0"/>
                <w:szCs w:val="21"/>
              </w:rPr>
            </w:pPr>
          </w:p>
        </w:tc>
        <w:tc>
          <w:tcPr>
            <w:tcW w:w="2500" w:type="pct"/>
            <w:vAlign w:val="center"/>
          </w:tcPr>
          <w:p>
            <w:pPr>
              <w:keepNext/>
              <w:widowControl/>
              <w:jc w:val="left"/>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2</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开展形式多样的师德主题教育活动，明确全员育人的岗位职责，倡导为人师表、践行文明礼仪、树立师德典型，有具体措施、活动内容和载体。视效果计1-</w:t>
            </w:r>
            <w:r>
              <w:rPr>
                <w:rFonts w:ascii="仿宋_GB2312" w:hAnsi="仿宋_GB2312" w:eastAsia="仿宋_GB2312" w:cs="仿宋_GB2312"/>
                <w:color w:val="auto"/>
                <w:kern w:val="0"/>
                <w:sz w:val="24"/>
              </w:rPr>
              <w:t>7</w:t>
            </w:r>
            <w:r>
              <w:rPr>
                <w:rFonts w:hint="eastAsia" w:ascii="仿宋_GB2312" w:hAnsi="仿宋_GB2312" w:eastAsia="仿宋_GB2312" w:cs="仿宋_GB2312"/>
                <w:color w:val="auto"/>
                <w:kern w:val="0"/>
                <w:sz w:val="24"/>
              </w:rPr>
              <w:t>分。</w:t>
            </w:r>
          </w:p>
        </w:tc>
        <w:tc>
          <w:tcPr>
            <w:tcW w:w="949" w:type="pct"/>
            <w:vMerge w:val="restart"/>
            <w:vAlign w:val="center"/>
          </w:tcPr>
          <w:p>
            <w:pPr>
              <w:keepNext/>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提供开展活动的图片、新闻报道和文字资料</w:t>
            </w:r>
          </w:p>
        </w:tc>
        <w:tc>
          <w:tcPr>
            <w:tcW w:w="361" w:type="pct"/>
            <w:vAlign w:val="center"/>
          </w:tcPr>
          <w:p>
            <w:pPr>
              <w:keepNext/>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blHeader/>
        </w:trPr>
        <w:tc>
          <w:tcPr>
            <w:tcW w:w="537" w:type="pct"/>
            <w:vMerge w:val="continue"/>
            <w:vAlign w:val="center"/>
          </w:tcPr>
          <w:p>
            <w:pPr>
              <w:keepNext/>
              <w:widowControl/>
              <w:jc w:val="center"/>
              <w:rPr>
                <w:rFonts w:ascii="黑体" w:hAnsi="黑体" w:eastAsia="黑体"/>
                <w:b/>
                <w:bCs/>
                <w:color w:val="auto"/>
                <w:kern w:val="0"/>
                <w:szCs w:val="21"/>
              </w:rPr>
            </w:pPr>
          </w:p>
        </w:tc>
        <w:tc>
          <w:tcPr>
            <w:tcW w:w="650" w:type="pct"/>
            <w:vAlign w:val="center"/>
          </w:tcPr>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校园文化</w:t>
            </w:r>
          </w:p>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活动</w:t>
            </w:r>
          </w:p>
          <w:p>
            <w:pPr>
              <w:keepNext/>
              <w:widowControl/>
              <w:jc w:val="center"/>
              <w:rPr>
                <w:rFonts w:ascii="黑体" w:hAnsi="黑体" w:eastAsia="黑体"/>
                <w:b/>
                <w:bCs/>
                <w:color w:val="auto"/>
                <w:kern w:val="0"/>
                <w:szCs w:val="21"/>
              </w:rPr>
            </w:pPr>
            <w:r>
              <w:rPr>
                <w:rFonts w:hint="eastAsia" w:ascii="黑体" w:hAnsi="黑体" w:eastAsia="黑体" w:cs="楷体_GB2312"/>
                <w:b/>
                <w:bCs/>
                <w:color w:val="auto"/>
                <w:kern w:val="0"/>
                <w:szCs w:val="21"/>
              </w:rPr>
              <w:t>（</w:t>
            </w:r>
            <w:r>
              <w:rPr>
                <w:rFonts w:ascii="黑体" w:hAnsi="黑体" w:eastAsia="黑体" w:cs="楷体_GB2312"/>
                <w:b/>
                <w:bCs/>
                <w:color w:val="auto"/>
                <w:kern w:val="0"/>
                <w:szCs w:val="21"/>
              </w:rPr>
              <w:t>10</w:t>
            </w:r>
            <w:r>
              <w:rPr>
                <w:rFonts w:hint="eastAsia" w:ascii="黑体" w:hAnsi="黑体" w:eastAsia="黑体" w:cs="楷体_GB2312"/>
                <w:b/>
                <w:bCs/>
                <w:color w:val="auto"/>
                <w:kern w:val="0"/>
                <w:szCs w:val="21"/>
              </w:rPr>
              <w:t>分）</w:t>
            </w:r>
          </w:p>
        </w:tc>
        <w:tc>
          <w:tcPr>
            <w:tcW w:w="2500" w:type="pct"/>
            <w:vAlign w:val="center"/>
          </w:tcPr>
          <w:p>
            <w:pPr>
              <w:keepNext/>
              <w:widowControl/>
              <w:jc w:val="left"/>
              <w:rPr>
                <w:rFonts w:ascii="仿宋_GB2312" w:hAnsi="仿宋_GB2312" w:eastAsia="仿宋_GB2312" w:cs="仿宋_GB2312"/>
                <w:b/>
                <w:bCs/>
                <w:color w:val="auto"/>
                <w:kern w:val="0"/>
                <w:sz w:val="24"/>
              </w:rPr>
            </w:pPr>
            <w:r>
              <w:rPr>
                <w:rFonts w:hint="eastAsia" w:ascii="仿宋_GB2312" w:hAnsi="仿宋_GB2312" w:eastAsia="仿宋_GB2312" w:cs="仿宋_GB2312"/>
                <w:color w:val="auto"/>
                <w:kern w:val="0"/>
                <w:sz w:val="24"/>
              </w:rPr>
              <w:t>1</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开展校风、校训、教风、学风、校史、校歌、校徽等校园文化符号教育，激励师生热爱学校、共建学校，引导师生树立家校情怀。视效果计1-4分。</w:t>
            </w:r>
          </w:p>
        </w:tc>
        <w:tc>
          <w:tcPr>
            <w:tcW w:w="949" w:type="pct"/>
            <w:vMerge w:val="continue"/>
            <w:vAlign w:val="center"/>
          </w:tcPr>
          <w:p>
            <w:pPr>
              <w:keepNext/>
              <w:widowControl/>
              <w:jc w:val="center"/>
              <w:rPr>
                <w:rFonts w:ascii="仿宋_GB2312" w:hAnsi="仿宋_GB2312" w:eastAsia="仿宋_GB2312" w:cs="仿宋_GB2312"/>
                <w:color w:val="auto"/>
                <w:kern w:val="0"/>
                <w:sz w:val="24"/>
              </w:rPr>
            </w:pP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blHeader/>
        </w:trPr>
        <w:tc>
          <w:tcPr>
            <w:tcW w:w="537"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一级指标</w:t>
            </w:r>
          </w:p>
        </w:tc>
        <w:tc>
          <w:tcPr>
            <w:tcW w:w="650"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二级指标</w:t>
            </w:r>
          </w:p>
        </w:tc>
        <w:tc>
          <w:tcPr>
            <w:tcW w:w="2500"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评价标准</w:t>
            </w:r>
          </w:p>
        </w:tc>
        <w:tc>
          <w:tcPr>
            <w:tcW w:w="949"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评价方式</w:t>
            </w:r>
          </w:p>
        </w:tc>
        <w:tc>
          <w:tcPr>
            <w:tcW w:w="361"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ascii="黑体" w:hAnsi="宋体" w:eastAsia="黑体" w:cs="宋体"/>
                <w:b/>
                <w:bCs/>
                <w:color w:val="auto"/>
                <w:kern w:val="0"/>
                <w:sz w:val="24"/>
              </w:rPr>
              <w:t>自评</w:t>
            </w:r>
          </w:p>
          <w:p>
            <w:pPr>
              <w:keepNext/>
              <w:widowControl/>
              <w:jc w:val="center"/>
              <w:rPr>
                <w:rFonts w:ascii="黑体" w:hAnsi="宋体" w:eastAsia="黑体" w:cs="宋体"/>
                <w:b/>
                <w:bCs/>
                <w:color w:val="auto"/>
                <w:kern w:val="0"/>
                <w:sz w:val="24"/>
              </w:rPr>
            </w:pPr>
            <w:r>
              <w:rPr>
                <w:rFonts w:ascii="黑体" w:hAnsi="宋体" w:eastAsia="黑体" w:cs="宋体"/>
                <w:b/>
                <w:bCs/>
                <w:color w:val="auto"/>
                <w:kern w:val="0"/>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 w:hRule="atLeast"/>
          <w:tblHeader/>
        </w:trPr>
        <w:tc>
          <w:tcPr>
            <w:tcW w:w="537" w:type="pct"/>
            <w:vMerge w:val="restart"/>
            <w:vAlign w:val="center"/>
          </w:tcPr>
          <w:p>
            <w:pPr>
              <w:keepNext/>
              <w:widowControl/>
              <w:jc w:val="center"/>
              <w:rPr>
                <w:rFonts w:ascii="黑体" w:hAnsi="黑体" w:eastAsia="黑体"/>
                <w:b/>
                <w:bCs/>
                <w:color w:val="auto"/>
                <w:kern w:val="0"/>
                <w:szCs w:val="21"/>
              </w:rPr>
            </w:pPr>
            <w:r>
              <w:rPr>
                <w:rFonts w:hint="eastAsia" w:ascii="黑体" w:hAnsi="黑体" w:eastAsia="黑体"/>
                <w:b/>
                <w:bCs/>
                <w:color w:val="auto"/>
                <w:kern w:val="0"/>
                <w:szCs w:val="21"/>
              </w:rPr>
              <w:t>文明创建活动</w:t>
            </w:r>
          </w:p>
          <w:p>
            <w:pPr>
              <w:keepNext/>
              <w:widowControl/>
              <w:jc w:val="center"/>
              <w:rPr>
                <w:rFonts w:ascii="黑体" w:hAnsi="黑体" w:eastAsia="黑体"/>
                <w:b/>
                <w:bCs/>
                <w:color w:val="auto"/>
                <w:kern w:val="0"/>
                <w:szCs w:val="21"/>
              </w:rPr>
            </w:pPr>
            <w:r>
              <w:rPr>
                <w:rFonts w:hint="eastAsia" w:ascii="黑体" w:hAnsi="黑体" w:eastAsia="黑体" w:cs="黑体"/>
                <w:b/>
                <w:bCs/>
                <w:color w:val="auto"/>
                <w:kern w:val="0"/>
                <w:szCs w:val="21"/>
              </w:rPr>
              <w:t>（60%）</w:t>
            </w:r>
          </w:p>
        </w:tc>
        <w:tc>
          <w:tcPr>
            <w:tcW w:w="650" w:type="pct"/>
            <w:vMerge w:val="restart"/>
            <w:vAlign w:val="center"/>
          </w:tcPr>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校园文化</w:t>
            </w:r>
          </w:p>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活动</w:t>
            </w:r>
          </w:p>
          <w:p>
            <w:pPr>
              <w:keepNext/>
              <w:widowControl/>
              <w:jc w:val="center"/>
              <w:rPr>
                <w:rFonts w:ascii="黑体" w:hAnsi="黑体" w:eastAsia="黑体"/>
                <w:b/>
                <w:bCs/>
                <w:color w:val="auto"/>
                <w:kern w:val="0"/>
                <w:szCs w:val="21"/>
              </w:rPr>
            </w:pPr>
            <w:r>
              <w:rPr>
                <w:rFonts w:hint="eastAsia" w:ascii="黑体" w:hAnsi="黑体" w:eastAsia="黑体" w:cs="楷体_GB2312"/>
                <w:b/>
                <w:bCs/>
                <w:color w:val="auto"/>
                <w:kern w:val="0"/>
                <w:szCs w:val="21"/>
              </w:rPr>
              <w:t>（</w:t>
            </w:r>
            <w:r>
              <w:rPr>
                <w:rFonts w:ascii="黑体" w:hAnsi="黑体" w:eastAsia="黑体" w:cs="楷体_GB2312"/>
                <w:b/>
                <w:bCs/>
                <w:color w:val="auto"/>
                <w:kern w:val="0"/>
                <w:szCs w:val="21"/>
              </w:rPr>
              <w:t>10</w:t>
            </w:r>
            <w:r>
              <w:rPr>
                <w:rFonts w:hint="eastAsia" w:ascii="黑体" w:hAnsi="黑体" w:eastAsia="黑体" w:cs="楷体_GB2312"/>
                <w:b/>
                <w:bCs/>
                <w:color w:val="auto"/>
                <w:kern w:val="0"/>
                <w:szCs w:val="21"/>
              </w:rPr>
              <w:t>分）</w:t>
            </w:r>
          </w:p>
        </w:tc>
        <w:tc>
          <w:tcPr>
            <w:tcW w:w="2500" w:type="pct"/>
            <w:vAlign w:val="center"/>
          </w:tcPr>
          <w:p>
            <w:pPr>
              <w:keepNext/>
              <w:widowControl/>
              <w:spacing w:line="340" w:lineRule="exact"/>
              <w:jc w:val="left"/>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2.</w:t>
            </w:r>
            <w:r>
              <w:rPr>
                <w:rFonts w:hint="eastAsia" w:ascii="仿宋_GB2312" w:hAnsi="仿宋_GB2312" w:eastAsia="仿宋_GB2312" w:cs="仿宋_GB2312"/>
                <w:color w:val="auto"/>
                <w:kern w:val="0"/>
                <w:sz w:val="24"/>
                <w:lang w:val="en-US" w:eastAsia="zh-CN"/>
              </w:rPr>
              <w:t>注重发挥共青团组织、学生会、学生社团的作用，开展形式多样、健康向上、格调高雅的校园文化活动，同时结合学院特色，打造校园文化品牌项目。</w:t>
            </w:r>
            <w:r>
              <w:rPr>
                <w:rFonts w:hint="eastAsia" w:ascii="仿宋_GB2312" w:hAnsi="仿宋_GB2312" w:eastAsia="仿宋_GB2312" w:cs="仿宋_GB2312"/>
                <w:color w:val="auto"/>
                <w:kern w:val="0"/>
                <w:sz w:val="24"/>
              </w:rPr>
              <w:t>视效果计1-2分。</w:t>
            </w:r>
          </w:p>
        </w:tc>
        <w:tc>
          <w:tcPr>
            <w:tcW w:w="949" w:type="pct"/>
            <w:vMerge w:val="restart"/>
            <w:vAlign w:val="center"/>
          </w:tcPr>
          <w:p>
            <w:pPr>
              <w:keepNext/>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提供开展活动的图片、新闻报道和文字资料</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blHeader/>
        </w:trPr>
        <w:tc>
          <w:tcPr>
            <w:tcW w:w="537" w:type="pct"/>
            <w:vMerge w:val="continue"/>
            <w:vAlign w:val="center"/>
          </w:tcPr>
          <w:p>
            <w:pPr>
              <w:keepNext/>
              <w:widowControl/>
              <w:jc w:val="center"/>
              <w:rPr>
                <w:rFonts w:ascii="黑体" w:hAnsi="黑体" w:eastAsia="黑体"/>
                <w:b/>
                <w:bCs/>
                <w:color w:val="auto"/>
                <w:kern w:val="0"/>
                <w:szCs w:val="21"/>
              </w:rPr>
            </w:pPr>
          </w:p>
        </w:tc>
        <w:tc>
          <w:tcPr>
            <w:tcW w:w="650" w:type="pct"/>
            <w:vMerge w:val="continue"/>
            <w:vAlign w:val="center"/>
          </w:tcPr>
          <w:p>
            <w:pPr>
              <w:keepNext/>
              <w:widowControl/>
              <w:jc w:val="center"/>
              <w:rPr>
                <w:rFonts w:ascii="黑体" w:hAnsi="黑体" w:eastAsia="黑体"/>
                <w:b/>
                <w:bCs/>
                <w:color w:val="auto"/>
                <w:kern w:val="0"/>
                <w:szCs w:val="21"/>
              </w:rPr>
            </w:pPr>
          </w:p>
        </w:tc>
        <w:tc>
          <w:tcPr>
            <w:tcW w:w="2500" w:type="pct"/>
            <w:vAlign w:val="center"/>
          </w:tcPr>
          <w:p>
            <w:pPr>
              <w:keepNext/>
              <w:widowControl/>
              <w:jc w:val="left"/>
              <w:rPr>
                <w:rFonts w:ascii="仿宋_GB2312" w:hAnsi="仿宋_GB2312" w:eastAsia="仿宋_GB2312" w:cs="仿宋_GB2312"/>
                <w:b/>
                <w:bCs/>
                <w:color w:val="auto"/>
                <w:kern w:val="0"/>
                <w:sz w:val="24"/>
              </w:rPr>
            </w:pPr>
            <w:r>
              <w:rPr>
                <w:rFonts w:hint="eastAsia" w:ascii="仿宋_GB2312" w:hAnsi="仿宋_GB2312" w:eastAsia="仿宋_GB2312" w:cs="仿宋_GB2312"/>
                <w:color w:val="auto"/>
                <w:kern w:val="0"/>
                <w:sz w:val="24"/>
              </w:rPr>
              <w:t>3</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主动参与学校层面的文化节、艺术节、运动会、高雅艺术进校园等活动。积极开展和参加</w:t>
            </w:r>
            <w:r>
              <w:rPr>
                <w:rFonts w:hint="eastAsia" w:ascii="仿宋_GB2312" w:hAnsi="仿宋_GB2312" w:eastAsia="仿宋_GB2312" w:cs="仿宋_GB2312"/>
                <w:color w:val="auto"/>
                <w:kern w:val="0"/>
                <w:sz w:val="24"/>
                <w:lang w:val="en-US" w:eastAsia="zh-CN"/>
              </w:rPr>
              <w:t>校园</w:t>
            </w:r>
            <w:r>
              <w:rPr>
                <w:rFonts w:hint="eastAsia" w:ascii="仿宋_GB2312" w:hAnsi="仿宋_GB2312" w:eastAsia="仿宋_GB2312" w:cs="仿宋_GB2312"/>
                <w:color w:val="auto"/>
                <w:kern w:val="0"/>
                <w:sz w:val="24"/>
              </w:rPr>
              <w:t>文体活动，充分体现校园文化的凝聚、育人、服务功能。视效果计1-4分。</w:t>
            </w:r>
          </w:p>
        </w:tc>
        <w:tc>
          <w:tcPr>
            <w:tcW w:w="949" w:type="pct"/>
            <w:vMerge w:val="continue"/>
            <w:vAlign w:val="center"/>
          </w:tcPr>
          <w:p>
            <w:pPr>
              <w:keepNext/>
              <w:widowControl/>
              <w:jc w:val="center"/>
              <w:rPr>
                <w:rFonts w:ascii="仿宋_GB2312" w:hAnsi="仿宋_GB2312" w:eastAsia="仿宋_GB2312" w:cs="仿宋_GB2312"/>
                <w:color w:val="auto"/>
                <w:kern w:val="0"/>
                <w:sz w:val="24"/>
              </w:rPr>
            </w:pP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blHeader/>
        </w:trPr>
        <w:tc>
          <w:tcPr>
            <w:tcW w:w="537" w:type="pct"/>
            <w:vMerge w:val="continue"/>
            <w:vAlign w:val="center"/>
          </w:tcPr>
          <w:p>
            <w:pPr>
              <w:keepNext/>
              <w:widowControl/>
              <w:jc w:val="center"/>
              <w:rPr>
                <w:rFonts w:ascii="黑体" w:hAnsi="黑体" w:eastAsia="黑体"/>
                <w:b/>
                <w:bCs/>
                <w:color w:val="auto"/>
                <w:kern w:val="0"/>
                <w:szCs w:val="21"/>
              </w:rPr>
            </w:pPr>
          </w:p>
        </w:tc>
        <w:tc>
          <w:tcPr>
            <w:tcW w:w="650" w:type="pct"/>
            <w:vMerge w:val="restart"/>
            <w:vAlign w:val="center"/>
          </w:tcPr>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校园环境</w:t>
            </w:r>
          </w:p>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建设</w:t>
            </w:r>
          </w:p>
          <w:p>
            <w:pPr>
              <w:keepNext/>
              <w:widowControl/>
              <w:jc w:val="center"/>
              <w:rPr>
                <w:rFonts w:ascii="黑体" w:hAnsi="黑体" w:eastAsia="黑体"/>
                <w:b/>
                <w:bCs/>
                <w:color w:val="auto"/>
                <w:kern w:val="0"/>
                <w:szCs w:val="21"/>
              </w:rPr>
            </w:pPr>
            <w:r>
              <w:rPr>
                <w:rFonts w:hint="eastAsia" w:ascii="黑体" w:hAnsi="黑体" w:eastAsia="黑体" w:cs="楷体_GB2312"/>
                <w:b/>
                <w:bCs/>
                <w:color w:val="auto"/>
                <w:kern w:val="0"/>
                <w:szCs w:val="21"/>
              </w:rPr>
              <w:t>（10分）</w:t>
            </w:r>
          </w:p>
        </w:tc>
        <w:tc>
          <w:tcPr>
            <w:tcW w:w="2500" w:type="pct"/>
            <w:vAlign w:val="center"/>
          </w:tcPr>
          <w:p>
            <w:pPr>
              <w:keepNext/>
              <w:widowControl/>
              <w:jc w:val="left"/>
              <w:rPr>
                <w:rFonts w:ascii="仿宋_GB2312" w:hAnsi="仿宋_GB2312" w:eastAsia="仿宋_GB2312" w:cs="仿宋_GB2312"/>
                <w:color w:val="auto"/>
                <w:kern w:val="0"/>
                <w:sz w:val="24"/>
              </w:rPr>
            </w:pPr>
            <w:r>
              <w:rPr>
                <w:rFonts w:ascii="仿宋_GB2312" w:hAnsi="仿宋_GB2312" w:eastAsia="仿宋_GB2312" w:cs="仿宋_GB2312"/>
                <w:color w:val="auto"/>
                <w:kern w:val="0"/>
                <w:sz w:val="24"/>
              </w:rPr>
              <w:t>1.</w:t>
            </w:r>
            <w:r>
              <w:rPr>
                <w:rFonts w:hint="eastAsia" w:ascii="仿宋_GB2312" w:hAnsi="仿宋_GB2312" w:eastAsia="仿宋_GB2312" w:cs="仿宋_GB2312"/>
                <w:color w:val="auto"/>
                <w:kern w:val="0"/>
                <w:sz w:val="24"/>
              </w:rPr>
              <w:t>办公室及所属卫生责任区干净整洁，</w:t>
            </w:r>
            <w:r>
              <w:rPr>
                <w:rFonts w:hint="eastAsia" w:ascii="仿宋_GB2312" w:hAnsi="仿宋_GB2312" w:eastAsia="仿宋_GB2312" w:cs="仿宋_GB2312"/>
                <w:color w:val="auto"/>
                <w:kern w:val="0"/>
                <w:sz w:val="24"/>
                <w:lang w:val="en-US" w:eastAsia="zh-CN"/>
              </w:rPr>
              <w:t>车辆摆放整齐，</w:t>
            </w:r>
            <w:r>
              <w:rPr>
                <w:rFonts w:hint="eastAsia" w:ascii="仿宋_GB2312" w:hAnsi="仿宋_GB2312" w:eastAsia="仿宋_GB2312" w:cs="仿宋_GB2312"/>
                <w:color w:val="auto"/>
                <w:kern w:val="0"/>
                <w:sz w:val="24"/>
              </w:rPr>
              <w:t>无脏、乱、差现象；环境绿化，开展植树护绿活动，营造良好生态环境；环境美化，构建美观宜人的内外环境。视效果计1-4分。</w:t>
            </w:r>
          </w:p>
        </w:tc>
        <w:tc>
          <w:tcPr>
            <w:tcW w:w="949" w:type="pct"/>
            <w:vAlign w:val="center"/>
          </w:tcPr>
          <w:p>
            <w:pPr>
              <w:keepNext/>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参考校爱卫会检查结果计分</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blHeader/>
        </w:trPr>
        <w:tc>
          <w:tcPr>
            <w:tcW w:w="537" w:type="pct"/>
            <w:vMerge w:val="continue"/>
            <w:vAlign w:val="center"/>
          </w:tcPr>
          <w:p>
            <w:pPr>
              <w:keepNext/>
              <w:widowControl/>
              <w:jc w:val="center"/>
              <w:rPr>
                <w:rFonts w:ascii="黑体" w:hAnsi="黑体" w:eastAsia="黑体"/>
                <w:b/>
                <w:bCs/>
                <w:color w:val="auto"/>
                <w:kern w:val="0"/>
                <w:szCs w:val="21"/>
              </w:rPr>
            </w:pPr>
          </w:p>
        </w:tc>
        <w:tc>
          <w:tcPr>
            <w:tcW w:w="650" w:type="pct"/>
            <w:vMerge w:val="continue"/>
            <w:vAlign w:val="center"/>
          </w:tcPr>
          <w:p>
            <w:pPr>
              <w:keepNext/>
              <w:widowControl/>
              <w:jc w:val="center"/>
              <w:rPr>
                <w:rFonts w:ascii="黑体" w:hAnsi="黑体" w:eastAsia="黑体"/>
                <w:b/>
                <w:bCs/>
                <w:color w:val="auto"/>
                <w:kern w:val="0"/>
                <w:szCs w:val="21"/>
              </w:rPr>
            </w:pPr>
          </w:p>
        </w:tc>
        <w:tc>
          <w:tcPr>
            <w:tcW w:w="2500" w:type="pct"/>
            <w:vAlign w:val="center"/>
          </w:tcPr>
          <w:p>
            <w:pPr>
              <w:keepNext/>
              <w:widowControl/>
              <w:jc w:val="left"/>
              <w:rPr>
                <w:rFonts w:ascii="仿宋_GB2312" w:hAnsi="仿宋_GB2312" w:eastAsia="仿宋_GB2312" w:cs="仿宋_GB2312"/>
                <w:b/>
                <w:bCs/>
                <w:color w:val="auto"/>
                <w:kern w:val="0"/>
                <w:sz w:val="24"/>
              </w:rPr>
            </w:pPr>
            <w:r>
              <w:rPr>
                <w:rFonts w:hint="eastAsia" w:ascii="仿宋_GB2312" w:hAnsi="仿宋_GB2312" w:eastAsia="仿宋_GB2312" w:cs="仿宋_GB2312"/>
                <w:color w:val="auto"/>
                <w:kern w:val="0"/>
                <w:sz w:val="24"/>
              </w:rPr>
              <w:t>2</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加强健康教育，积极创建无烟单位，配合学校做好疾病防控工作</w:t>
            </w:r>
            <w:r>
              <w:rPr>
                <w:rFonts w:hint="eastAsia" w:ascii="仿宋_GB2312" w:hAnsi="仿宋_GB2312" w:eastAsia="仿宋_GB2312" w:cs="仿宋_GB2312"/>
                <w:color w:val="auto"/>
                <w:kern w:val="0"/>
                <w:sz w:val="24"/>
                <w:lang w:eastAsia="zh-CN"/>
              </w:rPr>
              <w:t>；</w:t>
            </w:r>
            <w:r>
              <w:rPr>
                <w:rFonts w:hint="eastAsia" w:ascii="仿宋_GB2312" w:hAnsi="仿宋_GB2312" w:eastAsia="仿宋_GB2312" w:cs="仿宋_GB2312"/>
                <w:color w:val="auto"/>
                <w:kern w:val="0"/>
                <w:sz w:val="24"/>
                <w:lang w:val="en-US" w:eastAsia="zh-CN"/>
              </w:rPr>
              <w:t>加强安全教育，定期开展消防演练和重点场所防火、防盗、防汛、防爆、防毒检查。</w:t>
            </w:r>
            <w:r>
              <w:rPr>
                <w:rFonts w:hint="eastAsia" w:ascii="仿宋_GB2312" w:hAnsi="仿宋_GB2312" w:eastAsia="仿宋_GB2312" w:cs="仿宋_GB2312"/>
                <w:color w:val="auto"/>
                <w:kern w:val="0"/>
                <w:sz w:val="24"/>
              </w:rPr>
              <w:t>视效果计1-3分。</w:t>
            </w:r>
          </w:p>
        </w:tc>
        <w:tc>
          <w:tcPr>
            <w:tcW w:w="949" w:type="pct"/>
            <w:vMerge w:val="restart"/>
            <w:vAlign w:val="center"/>
          </w:tcPr>
          <w:p>
            <w:pPr>
              <w:keepNext/>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提供相关文件制度和开展活动的图片、文字资料</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blHeader/>
        </w:trPr>
        <w:tc>
          <w:tcPr>
            <w:tcW w:w="537" w:type="pct"/>
            <w:vMerge w:val="continue"/>
            <w:vAlign w:val="center"/>
          </w:tcPr>
          <w:p>
            <w:pPr>
              <w:keepNext/>
              <w:widowControl/>
              <w:jc w:val="center"/>
              <w:rPr>
                <w:rFonts w:ascii="黑体" w:hAnsi="黑体" w:eastAsia="黑体"/>
                <w:b/>
                <w:bCs/>
                <w:color w:val="auto"/>
                <w:kern w:val="0"/>
                <w:szCs w:val="21"/>
              </w:rPr>
            </w:pPr>
          </w:p>
        </w:tc>
        <w:tc>
          <w:tcPr>
            <w:tcW w:w="650" w:type="pct"/>
            <w:vMerge w:val="continue"/>
            <w:vAlign w:val="center"/>
          </w:tcPr>
          <w:p>
            <w:pPr>
              <w:keepNext/>
              <w:widowControl/>
              <w:jc w:val="center"/>
              <w:rPr>
                <w:rFonts w:ascii="黑体" w:hAnsi="黑体" w:eastAsia="黑体"/>
                <w:b/>
                <w:bCs/>
                <w:color w:val="auto"/>
                <w:kern w:val="0"/>
                <w:szCs w:val="21"/>
              </w:rPr>
            </w:pPr>
          </w:p>
        </w:tc>
        <w:tc>
          <w:tcPr>
            <w:tcW w:w="2500" w:type="pct"/>
            <w:vAlign w:val="center"/>
          </w:tcPr>
          <w:p>
            <w:pPr>
              <w:keepNext/>
              <w:widowControl/>
              <w:jc w:val="left"/>
              <w:rPr>
                <w:rFonts w:ascii="仿宋_GB2312" w:hAnsi="仿宋_GB2312" w:eastAsia="仿宋_GB2312" w:cs="仿宋_GB2312"/>
                <w:b/>
                <w:bCs/>
                <w:color w:val="auto"/>
                <w:kern w:val="0"/>
                <w:sz w:val="24"/>
              </w:rPr>
            </w:pPr>
            <w:r>
              <w:rPr>
                <w:rFonts w:hint="eastAsia" w:ascii="仿宋_GB2312" w:hAnsi="仿宋_GB2312" w:eastAsia="仿宋_GB2312" w:cs="仿宋_GB2312"/>
                <w:color w:val="auto"/>
                <w:kern w:val="0"/>
                <w:sz w:val="24"/>
              </w:rPr>
              <w:t>3</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注重生态文明建设，加强低碳节能教育，节约用水、用电，开展垃圾分类，有制度、有检查、有举措、有成效，视效果计1-3分。</w:t>
            </w:r>
          </w:p>
        </w:tc>
        <w:tc>
          <w:tcPr>
            <w:tcW w:w="949" w:type="pct"/>
            <w:vMerge w:val="continue"/>
            <w:vAlign w:val="center"/>
          </w:tcPr>
          <w:p>
            <w:pPr>
              <w:keepNext/>
              <w:widowControl/>
              <w:jc w:val="center"/>
              <w:rPr>
                <w:rFonts w:ascii="仿宋_GB2312" w:hAnsi="仿宋_GB2312" w:eastAsia="仿宋_GB2312" w:cs="仿宋_GB2312"/>
                <w:color w:val="auto"/>
                <w:kern w:val="0"/>
                <w:sz w:val="24"/>
              </w:rPr>
            </w:pP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tblHeader/>
        </w:trPr>
        <w:tc>
          <w:tcPr>
            <w:tcW w:w="537" w:type="pct"/>
            <w:vMerge w:val="continue"/>
            <w:vAlign w:val="center"/>
          </w:tcPr>
          <w:p>
            <w:pPr>
              <w:keepNext/>
              <w:widowControl/>
              <w:jc w:val="center"/>
              <w:rPr>
                <w:rFonts w:ascii="黑体" w:hAnsi="黑体" w:eastAsia="黑体"/>
                <w:b/>
                <w:bCs/>
                <w:color w:val="auto"/>
                <w:kern w:val="0"/>
                <w:szCs w:val="21"/>
              </w:rPr>
            </w:pPr>
          </w:p>
        </w:tc>
        <w:tc>
          <w:tcPr>
            <w:tcW w:w="650" w:type="pct"/>
            <w:vMerge w:val="restart"/>
            <w:vAlign w:val="center"/>
          </w:tcPr>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志愿服务</w:t>
            </w:r>
          </w:p>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活动</w:t>
            </w:r>
          </w:p>
          <w:p>
            <w:pPr>
              <w:keepNext/>
              <w:widowControl/>
              <w:jc w:val="center"/>
              <w:rPr>
                <w:rFonts w:ascii="黑体" w:hAnsi="黑体" w:eastAsia="黑体"/>
                <w:b/>
                <w:bCs/>
                <w:color w:val="auto"/>
                <w:kern w:val="0"/>
                <w:szCs w:val="21"/>
              </w:rPr>
            </w:pPr>
            <w:r>
              <w:rPr>
                <w:rFonts w:hint="eastAsia" w:ascii="黑体" w:hAnsi="黑体" w:eastAsia="黑体" w:cs="楷体_GB2312"/>
                <w:b/>
                <w:bCs/>
                <w:color w:val="auto"/>
                <w:kern w:val="0"/>
                <w:szCs w:val="21"/>
              </w:rPr>
              <w:t>（</w:t>
            </w:r>
            <w:r>
              <w:rPr>
                <w:rFonts w:ascii="黑体" w:hAnsi="黑体" w:eastAsia="黑体" w:cs="楷体_GB2312"/>
                <w:b/>
                <w:bCs/>
                <w:color w:val="auto"/>
                <w:kern w:val="0"/>
                <w:szCs w:val="21"/>
              </w:rPr>
              <w:t>10</w:t>
            </w:r>
            <w:r>
              <w:rPr>
                <w:rFonts w:hint="eastAsia" w:ascii="黑体" w:hAnsi="黑体" w:eastAsia="黑体" w:cs="楷体_GB2312"/>
                <w:b/>
                <w:bCs/>
                <w:color w:val="auto"/>
                <w:kern w:val="0"/>
                <w:szCs w:val="21"/>
              </w:rPr>
              <w:t>分）</w:t>
            </w:r>
          </w:p>
        </w:tc>
        <w:tc>
          <w:tcPr>
            <w:tcW w:w="2500" w:type="pct"/>
            <w:vAlign w:val="center"/>
          </w:tcPr>
          <w:p>
            <w:pPr>
              <w:keepNext/>
              <w:widowControl/>
              <w:jc w:val="left"/>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1.结合学院办学特色发展志愿服务组织,培育志愿服务品牌。视情况计1-</w:t>
            </w:r>
            <w:r>
              <w:rPr>
                <w:rFonts w:ascii="仿宋_GB2312" w:hAnsi="仿宋_GB2312" w:eastAsia="仿宋_GB2312" w:cs="仿宋_GB2312"/>
                <w:color w:val="auto"/>
                <w:kern w:val="0"/>
                <w:sz w:val="24"/>
              </w:rPr>
              <w:t>4分</w:t>
            </w:r>
          </w:p>
        </w:tc>
        <w:tc>
          <w:tcPr>
            <w:tcW w:w="949" w:type="pct"/>
            <w:vMerge w:val="restart"/>
            <w:vAlign w:val="center"/>
          </w:tcPr>
          <w:p>
            <w:pPr>
              <w:keepNext/>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提供相关文件制度和开展活动的图片、文字资料</w:t>
            </w:r>
          </w:p>
        </w:tc>
        <w:tc>
          <w:tcPr>
            <w:tcW w:w="361" w:type="pct"/>
            <w:vAlign w:val="center"/>
          </w:tcPr>
          <w:p>
            <w:pPr>
              <w:keepNext/>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blHeader/>
        </w:trPr>
        <w:tc>
          <w:tcPr>
            <w:tcW w:w="537" w:type="pct"/>
            <w:vMerge w:val="continue"/>
            <w:vAlign w:val="center"/>
          </w:tcPr>
          <w:p>
            <w:pPr>
              <w:keepNext/>
              <w:widowControl/>
              <w:jc w:val="center"/>
              <w:rPr>
                <w:rFonts w:ascii="黑体" w:hAnsi="黑体" w:eastAsia="黑体"/>
                <w:b/>
                <w:bCs/>
                <w:color w:val="auto"/>
                <w:kern w:val="0"/>
                <w:szCs w:val="21"/>
              </w:rPr>
            </w:pPr>
          </w:p>
        </w:tc>
        <w:tc>
          <w:tcPr>
            <w:tcW w:w="650" w:type="pct"/>
            <w:vMerge w:val="continue"/>
            <w:vAlign w:val="center"/>
          </w:tcPr>
          <w:p>
            <w:pPr>
              <w:keepNext/>
              <w:widowControl/>
              <w:jc w:val="center"/>
              <w:rPr>
                <w:rFonts w:ascii="黑体" w:hAnsi="黑体" w:eastAsia="黑体" w:cs="楷体_GB2312"/>
                <w:b/>
                <w:bCs/>
                <w:color w:val="auto"/>
                <w:kern w:val="0"/>
                <w:szCs w:val="21"/>
              </w:rPr>
            </w:pPr>
          </w:p>
        </w:tc>
        <w:tc>
          <w:tcPr>
            <w:tcW w:w="2500" w:type="pct"/>
            <w:vAlign w:val="center"/>
          </w:tcPr>
          <w:p>
            <w:pPr>
              <w:keepNext/>
              <w:widowControl/>
              <w:jc w:val="left"/>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2.推进学雷锋志愿服务活动制度化、规范化、常态化，</w:t>
            </w:r>
            <w:r>
              <w:rPr>
                <w:rFonts w:hint="eastAsia" w:ascii="仿宋_GB2312" w:eastAsia="仿宋_GB2312"/>
                <w:color w:val="auto"/>
                <w:w w:val="90"/>
                <w:sz w:val="24"/>
              </w:rPr>
              <w:t>有年度学雷锋志愿服务活动总体方案，明确具体责任部门、责任人、具体活动安排。</w:t>
            </w:r>
            <w:r>
              <w:rPr>
                <w:rFonts w:ascii="仿宋_GB2312" w:hAnsi="仿宋_GB2312" w:eastAsia="仿宋_GB2312" w:cs="仿宋_GB2312"/>
                <w:color w:val="auto"/>
                <w:kern w:val="0"/>
                <w:sz w:val="24"/>
              </w:rPr>
              <w:t>1</w:t>
            </w:r>
            <w:r>
              <w:rPr>
                <w:rFonts w:hint="eastAsia" w:ascii="仿宋_GB2312" w:hAnsi="仿宋_GB2312" w:eastAsia="仿宋_GB2312" w:cs="仿宋_GB2312"/>
                <w:color w:val="auto"/>
                <w:kern w:val="0"/>
                <w:sz w:val="24"/>
              </w:rPr>
              <w:t>-</w:t>
            </w:r>
            <w:r>
              <w:rPr>
                <w:rFonts w:ascii="仿宋_GB2312" w:hAnsi="仿宋_GB2312" w:eastAsia="仿宋_GB2312" w:cs="仿宋_GB2312"/>
                <w:color w:val="auto"/>
                <w:kern w:val="0"/>
                <w:sz w:val="24"/>
              </w:rPr>
              <w:t>3分</w:t>
            </w:r>
          </w:p>
        </w:tc>
        <w:tc>
          <w:tcPr>
            <w:tcW w:w="949" w:type="pct"/>
            <w:vMerge w:val="continue"/>
            <w:vAlign w:val="center"/>
          </w:tcPr>
          <w:p>
            <w:pPr>
              <w:keepNext/>
              <w:widowControl/>
              <w:jc w:val="center"/>
              <w:rPr>
                <w:rFonts w:ascii="仿宋_GB2312" w:hAnsi="仿宋_GB2312" w:eastAsia="仿宋_GB2312" w:cs="仿宋_GB2312"/>
                <w:color w:val="auto"/>
                <w:kern w:val="0"/>
                <w:sz w:val="24"/>
              </w:rPr>
            </w:pP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blHeader/>
        </w:trPr>
        <w:tc>
          <w:tcPr>
            <w:tcW w:w="537"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一级指标</w:t>
            </w:r>
          </w:p>
        </w:tc>
        <w:tc>
          <w:tcPr>
            <w:tcW w:w="650"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二级指标</w:t>
            </w:r>
          </w:p>
        </w:tc>
        <w:tc>
          <w:tcPr>
            <w:tcW w:w="2500"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评价标准</w:t>
            </w:r>
          </w:p>
        </w:tc>
        <w:tc>
          <w:tcPr>
            <w:tcW w:w="949"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评价方式</w:t>
            </w:r>
          </w:p>
        </w:tc>
        <w:tc>
          <w:tcPr>
            <w:tcW w:w="361"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ascii="黑体" w:hAnsi="宋体" w:eastAsia="黑体" w:cs="宋体"/>
                <w:b/>
                <w:bCs/>
                <w:color w:val="auto"/>
                <w:kern w:val="0"/>
                <w:sz w:val="24"/>
              </w:rPr>
              <w:t>自评</w:t>
            </w:r>
          </w:p>
          <w:p>
            <w:pPr>
              <w:keepNext/>
              <w:widowControl/>
              <w:jc w:val="center"/>
              <w:rPr>
                <w:rFonts w:ascii="黑体" w:hAnsi="宋体" w:eastAsia="黑体" w:cs="宋体"/>
                <w:b/>
                <w:bCs/>
                <w:color w:val="auto"/>
                <w:kern w:val="0"/>
                <w:sz w:val="24"/>
              </w:rPr>
            </w:pPr>
            <w:r>
              <w:rPr>
                <w:rFonts w:ascii="黑体" w:hAnsi="宋体" w:eastAsia="黑体" w:cs="宋体"/>
                <w:b/>
                <w:bCs/>
                <w:color w:val="auto"/>
                <w:kern w:val="0"/>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tblHeader/>
        </w:trPr>
        <w:tc>
          <w:tcPr>
            <w:tcW w:w="537" w:type="pct"/>
            <w:vAlign w:val="center"/>
          </w:tcPr>
          <w:p>
            <w:pPr>
              <w:keepNext/>
              <w:widowControl/>
              <w:jc w:val="center"/>
              <w:rPr>
                <w:rFonts w:ascii="黑体" w:hAnsi="黑体" w:eastAsia="黑体"/>
                <w:b/>
                <w:bCs/>
                <w:color w:val="auto"/>
                <w:kern w:val="0"/>
                <w:szCs w:val="21"/>
              </w:rPr>
            </w:pPr>
            <w:r>
              <w:rPr>
                <w:rFonts w:hint="eastAsia" w:ascii="黑体" w:hAnsi="黑体" w:eastAsia="黑体"/>
                <w:b/>
                <w:bCs/>
                <w:color w:val="auto"/>
                <w:kern w:val="0"/>
                <w:szCs w:val="21"/>
              </w:rPr>
              <w:t>文明创建活动</w:t>
            </w:r>
          </w:p>
          <w:p>
            <w:pPr>
              <w:keepNext/>
              <w:widowControl/>
              <w:jc w:val="center"/>
              <w:rPr>
                <w:rFonts w:ascii="黑体" w:hAnsi="黑体" w:eastAsia="黑体"/>
                <w:b/>
                <w:bCs/>
                <w:color w:val="auto"/>
                <w:kern w:val="0"/>
                <w:szCs w:val="21"/>
              </w:rPr>
            </w:pPr>
            <w:r>
              <w:rPr>
                <w:rFonts w:hint="eastAsia" w:ascii="黑体" w:hAnsi="黑体" w:eastAsia="黑体" w:cs="黑体"/>
                <w:b/>
                <w:bCs/>
                <w:color w:val="auto"/>
                <w:kern w:val="0"/>
                <w:szCs w:val="21"/>
              </w:rPr>
              <w:t>（60%）</w:t>
            </w:r>
          </w:p>
        </w:tc>
        <w:tc>
          <w:tcPr>
            <w:tcW w:w="650" w:type="pct"/>
            <w:vAlign w:val="center"/>
          </w:tcPr>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志愿服务</w:t>
            </w:r>
          </w:p>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活动</w:t>
            </w:r>
          </w:p>
          <w:p>
            <w:pPr>
              <w:keepNext/>
              <w:widowControl/>
              <w:jc w:val="center"/>
              <w:rPr>
                <w:rFonts w:ascii="黑体" w:hAnsi="黑体" w:eastAsia="黑体"/>
                <w:b/>
                <w:bCs/>
                <w:color w:val="auto"/>
                <w:kern w:val="0"/>
                <w:szCs w:val="21"/>
              </w:rPr>
            </w:pPr>
            <w:r>
              <w:rPr>
                <w:rFonts w:hint="eastAsia" w:ascii="黑体" w:hAnsi="黑体" w:eastAsia="黑体" w:cs="楷体_GB2312"/>
                <w:b/>
                <w:bCs/>
                <w:color w:val="auto"/>
                <w:kern w:val="0"/>
                <w:szCs w:val="21"/>
              </w:rPr>
              <w:t>（</w:t>
            </w:r>
            <w:r>
              <w:rPr>
                <w:rFonts w:ascii="黑体" w:hAnsi="黑体" w:eastAsia="黑体" w:cs="楷体_GB2312"/>
                <w:b/>
                <w:bCs/>
                <w:color w:val="auto"/>
                <w:kern w:val="0"/>
                <w:szCs w:val="21"/>
              </w:rPr>
              <w:t>10</w:t>
            </w:r>
            <w:r>
              <w:rPr>
                <w:rFonts w:hint="eastAsia" w:ascii="黑体" w:hAnsi="黑体" w:eastAsia="黑体" w:cs="楷体_GB2312"/>
                <w:b/>
                <w:bCs/>
                <w:color w:val="auto"/>
                <w:kern w:val="0"/>
                <w:szCs w:val="21"/>
              </w:rPr>
              <w:t>分）</w:t>
            </w:r>
          </w:p>
        </w:tc>
        <w:tc>
          <w:tcPr>
            <w:tcW w:w="2500" w:type="pct"/>
            <w:vAlign w:val="center"/>
          </w:tcPr>
          <w:p>
            <w:pPr>
              <w:keepNext/>
              <w:widowControl/>
              <w:jc w:val="left"/>
              <w:rPr>
                <w:rFonts w:ascii="仿宋_GB2312" w:hAnsi="仿宋_GB2312" w:eastAsia="仿宋_GB2312" w:cs="仿宋_GB2312"/>
                <w:b/>
                <w:bCs/>
                <w:color w:val="auto"/>
                <w:kern w:val="0"/>
                <w:sz w:val="24"/>
              </w:rPr>
            </w:pPr>
            <w:r>
              <w:rPr>
                <w:rFonts w:hint="eastAsia" w:ascii="仿宋_GB2312" w:hAnsi="宋体" w:eastAsia="仿宋_GB2312" w:cs="宋体"/>
                <w:color w:val="auto"/>
                <w:sz w:val="24"/>
              </w:rPr>
              <w:t>3.组织师生积极参与社会公益与志愿服务活动。</w:t>
            </w:r>
            <w:r>
              <w:rPr>
                <w:rFonts w:hint="eastAsia" w:ascii="仿宋_GB2312" w:hAnsi="仿宋_GB2312" w:eastAsia="仿宋_GB2312" w:cs="仿宋_GB2312"/>
                <w:color w:val="auto"/>
                <w:kern w:val="0"/>
                <w:sz w:val="24"/>
              </w:rPr>
              <w:t>全体团员成为注册志愿者，师生员工</w:t>
            </w:r>
            <w:r>
              <w:rPr>
                <w:rFonts w:hint="eastAsia" w:ascii="仿宋_GB2312" w:hAnsi="宋体" w:eastAsia="仿宋_GB2312" w:cs="宋体"/>
                <w:color w:val="auto"/>
                <w:sz w:val="24"/>
              </w:rPr>
              <w:t>志愿服务参与率达到40%以上，党员志愿服务参与率达到95%以上。</w:t>
            </w:r>
            <w:r>
              <w:rPr>
                <w:rFonts w:hint="eastAsia" w:ascii="仿宋_GB2312" w:hAnsi="仿宋_GB2312" w:eastAsia="仿宋_GB2312" w:cs="仿宋_GB2312"/>
                <w:color w:val="auto"/>
                <w:kern w:val="0"/>
                <w:sz w:val="24"/>
              </w:rPr>
              <w:t>视效果计1-</w:t>
            </w:r>
            <w:r>
              <w:rPr>
                <w:rFonts w:ascii="仿宋_GB2312" w:hAnsi="仿宋_GB2312" w:eastAsia="仿宋_GB2312" w:cs="仿宋_GB2312"/>
                <w:color w:val="auto"/>
                <w:kern w:val="0"/>
                <w:sz w:val="24"/>
              </w:rPr>
              <w:t>3</w:t>
            </w:r>
            <w:r>
              <w:rPr>
                <w:rFonts w:hint="eastAsia" w:ascii="仿宋_GB2312" w:hAnsi="仿宋_GB2312" w:eastAsia="仿宋_GB2312" w:cs="仿宋_GB2312"/>
                <w:color w:val="auto"/>
                <w:kern w:val="0"/>
                <w:sz w:val="24"/>
              </w:rPr>
              <w:t>分。</w:t>
            </w:r>
          </w:p>
        </w:tc>
        <w:tc>
          <w:tcPr>
            <w:tcW w:w="949" w:type="pct"/>
            <w:vAlign w:val="center"/>
          </w:tcPr>
          <w:p>
            <w:pPr>
              <w:keepNext/>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提供开展活动的图片、新闻报道和文字资料</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blHeader/>
        </w:trPr>
        <w:tc>
          <w:tcPr>
            <w:tcW w:w="537" w:type="pct"/>
            <w:vMerge w:val="restart"/>
            <w:vAlign w:val="center"/>
          </w:tcPr>
          <w:p>
            <w:pPr>
              <w:keepNext/>
              <w:widowControl/>
              <w:jc w:val="center"/>
              <w:rPr>
                <w:rFonts w:ascii="黑体" w:hAnsi="黑体" w:eastAsia="黑体"/>
                <w:b/>
                <w:bCs/>
                <w:color w:val="auto"/>
                <w:kern w:val="0"/>
                <w:szCs w:val="21"/>
              </w:rPr>
            </w:pPr>
            <w:r>
              <w:rPr>
                <w:rFonts w:hint="eastAsia" w:ascii="黑体" w:hAnsi="黑体" w:eastAsia="黑体"/>
                <w:b/>
                <w:bCs/>
                <w:color w:val="auto"/>
                <w:kern w:val="0"/>
                <w:szCs w:val="21"/>
              </w:rPr>
              <w:t>特色指标</w:t>
            </w:r>
            <w:r>
              <w:rPr>
                <w:rFonts w:hint="eastAsia" w:ascii="黑体" w:hAnsi="黑体" w:eastAsia="黑体" w:cs="黑体"/>
                <w:b/>
                <w:bCs/>
                <w:color w:val="auto"/>
                <w:kern w:val="0"/>
                <w:szCs w:val="21"/>
              </w:rPr>
              <w:t>（30%）</w:t>
            </w:r>
          </w:p>
        </w:tc>
        <w:tc>
          <w:tcPr>
            <w:tcW w:w="650" w:type="pct"/>
            <w:vMerge w:val="restart"/>
            <w:vAlign w:val="center"/>
          </w:tcPr>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荣誉奖励</w:t>
            </w:r>
          </w:p>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（12分）</w:t>
            </w:r>
          </w:p>
        </w:tc>
        <w:tc>
          <w:tcPr>
            <w:tcW w:w="2500" w:type="pct"/>
            <w:vAlign w:val="center"/>
          </w:tcPr>
          <w:p>
            <w:pPr>
              <w:keepNext/>
              <w:widowControl/>
              <w:jc w:val="left"/>
              <w:rPr>
                <w:rFonts w:ascii="仿宋_GB2312" w:hAnsi="仿宋_GB2312" w:eastAsia="仿宋_GB2312" w:cs="仿宋_GB2312"/>
                <w:b/>
                <w:bCs/>
                <w:color w:val="auto"/>
                <w:kern w:val="0"/>
                <w:sz w:val="24"/>
              </w:rPr>
            </w:pPr>
            <w:r>
              <w:rPr>
                <w:rFonts w:hint="eastAsia" w:ascii="仿宋_GB2312" w:hAnsi="仿宋_GB2312" w:eastAsia="仿宋_GB2312" w:cs="仿宋_GB2312"/>
                <w:b/>
                <w:bCs/>
                <w:color w:val="auto"/>
                <w:kern w:val="0"/>
                <w:sz w:val="24"/>
              </w:rPr>
              <w:t>集体荣誉</w:t>
            </w:r>
            <w:r>
              <w:rPr>
                <w:rFonts w:hint="eastAsia" w:ascii="仿宋_GB2312" w:hAnsi="仿宋_GB2312" w:eastAsia="仿宋_GB2312" w:cs="仿宋_GB2312"/>
                <w:color w:val="auto"/>
                <w:kern w:val="0"/>
                <w:sz w:val="24"/>
              </w:rPr>
              <w:t>：积极参与社会公益、志愿服务等活动，产生较大社会影响，全国荣誉计2分，省级荣誉计1分，同一单位获多个奖项的，按最高奖项得分计入，最高计6分。</w:t>
            </w:r>
          </w:p>
        </w:tc>
        <w:tc>
          <w:tcPr>
            <w:tcW w:w="949" w:type="pct"/>
            <w:vMerge w:val="restart"/>
            <w:vAlign w:val="center"/>
          </w:tcPr>
          <w:p>
            <w:pPr>
              <w:keepNext/>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提供获奖文件及证书扫描件</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8" w:hRule="atLeast"/>
          <w:tblHeader/>
        </w:trPr>
        <w:tc>
          <w:tcPr>
            <w:tcW w:w="537" w:type="pct"/>
            <w:vMerge w:val="continue"/>
            <w:vAlign w:val="center"/>
          </w:tcPr>
          <w:p>
            <w:pPr>
              <w:keepNext/>
              <w:widowControl/>
              <w:jc w:val="center"/>
              <w:rPr>
                <w:rFonts w:ascii="Times New Roman" w:eastAsia="黑体"/>
                <w:b/>
                <w:bCs/>
                <w:color w:val="auto"/>
                <w:kern w:val="0"/>
                <w:szCs w:val="21"/>
              </w:rPr>
            </w:pPr>
          </w:p>
        </w:tc>
        <w:tc>
          <w:tcPr>
            <w:tcW w:w="650" w:type="pct"/>
            <w:vMerge w:val="continue"/>
            <w:vAlign w:val="center"/>
          </w:tcPr>
          <w:p>
            <w:pPr>
              <w:keepNext/>
              <w:widowControl/>
              <w:jc w:val="center"/>
              <w:rPr>
                <w:rFonts w:ascii="Times New Roman" w:eastAsia="黑体"/>
                <w:b/>
                <w:bCs/>
                <w:color w:val="auto"/>
                <w:kern w:val="0"/>
                <w:szCs w:val="21"/>
              </w:rPr>
            </w:pPr>
          </w:p>
        </w:tc>
        <w:tc>
          <w:tcPr>
            <w:tcW w:w="2500" w:type="pct"/>
            <w:vAlign w:val="center"/>
          </w:tcPr>
          <w:p>
            <w:pPr>
              <w:keepNext/>
              <w:widowControl/>
              <w:jc w:val="left"/>
              <w:rPr>
                <w:rFonts w:ascii="仿宋_GB2312" w:hAnsi="仿宋_GB2312" w:eastAsia="仿宋_GB2312" w:cs="仿宋_GB2312"/>
                <w:b/>
                <w:bCs/>
                <w:color w:val="auto"/>
                <w:kern w:val="0"/>
                <w:sz w:val="24"/>
              </w:rPr>
            </w:pPr>
            <w:r>
              <w:rPr>
                <w:rFonts w:hint="eastAsia" w:ascii="仿宋_GB2312" w:hAnsi="仿宋_GB2312" w:eastAsia="仿宋_GB2312" w:cs="仿宋_GB2312"/>
                <w:b/>
                <w:bCs/>
                <w:color w:val="auto"/>
                <w:kern w:val="0"/>
                <w:sz w:val="24"/>
              </w:rPr>
              <w:t>个人荣誉：</w:t>
            </w:r>
            <w:r>
              <w:rPr>
                <w:rFonts w:hint="eastAsia" w:ascii="仿宋_GB2312" w:hAnsi="仿宋_GB2312" w:eastAsia="仿宋_GB2312" w:cs="仿宋_GB2312"/>
                <w:color w:val="auto"/>
                <w:kern w:val="0"/>
                <w:sz w:val="24"/>
              </w:rPr>
              <w:t>获得全国道德模范及提名奖、时代楷模、感动中国人物、中国好人，全国教书育人楷模、全国最美教师、全国优秀教师，中央和国家机关授予的其他荣誉，计2分；河南省道德模范及提名奖、河南好人，河南文明教师、河南文明学生，省委、省政府授予的荣誉计1分，同一人获多个奖项的，按最高奖项得分计入，最高计6分。</w:t>
            </w:r>
          </w:p>
        </w:tc>
        <w:tc>
          <w:tcPr>
            <w:tcW w:w="949" w:type="pct"/>
            <w:vMerge w:val="continue"/>
            <w:vAlign w:val="center"/>
          </w:tcPr>
          <w:p>
            <w:pPr>
              <w:keepNext/>
              <w:widowControl/>
              <w:jc w:val="center"/>
              <w:rPr>
                <w:rFonts w:ascii="仿宋_GB2312" w:hAnsi="仿宋_GB2312" w:eastAsia="仿宋_GB2312" w:cs="仿宋_GB2312"/>
                <w:color w:val="auto"/>
                <w:kern w:val="0"/>
                <w:sz w:val="18"/>
                <w:szCs w:val="18"/>
              </w:rPr>
            </w:pPr>
          </w:p>
        </w:tc>
        <w:tc>
          <w:tcPr>
            <w:tcW w:w="361" w:type="pct"/>
            <w:vAlign w:val="center"/>
          </w:tcPr>
          <w:p>
            <w:pPr>
              <w:keepNext/>
              <w:widowControl/>
              <w:jc w:val="center"/>
              <w:rPr>
                <w:rFonts w:ascii="仿宋_GB2312" w:hAnsi="仿宋_GB2312" w:eastAsia="仿宋_GB2312" w:cs="仿宋_GB2312"/>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blHeader/>
        </w:trPr>
        <w:tc>
          <w:tcPr>
            <w:tcW w:w="537" w:type="pct"/>
            <w:vMerge w:val="continue"/>
            <w:vAlign w:val="center"/>
          </w:tcPr>
          <w:p>
            <w:pPr>
              <w:keepNext/>
              <w:widowControl/>
              <w:jc w:val="center"/>
              <w:rPr>
                <w:rFonts w:ascii="Times New Roman" w:eastAsia="黑体"/>
                <w:b/>
                <w:bCs/>
                <w:color w:val="auto"/>
                <w:kern w:val="0"/>
                <w:szCs w:val="21"/>
              </w:rPr>
            </w:pPr>
          </w:p>
        </w:tc>
        <w:tc>
          <w:tcPr>
            <w:tcW w:w="650" w:type="pct"/>
            <w:vMerge w:val="restart"/>
            <w:vAlign w:val="center"/>
          </w:tcPr>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重大贡献</w:t>
            </w:r>
          </w:p>
          <w:p>
            <w:pPr>
              <w:keepNext/>
              <w:widowControl/>
              <w:jc w:val="center"/>
              <w:rPr>
                <w:rFonts w:ascii="黑体" w:hAnsi="黑体" w:eastAsia="黑体"/>
                <w:b/>
                <w:bCs/>
                <w:color w:val="auto"/>
                <w:kern w:val="0"/>
                <w:szCs w:val="21"/>
              </w:rPr>
            </w:pPr>
            <w:r>
              <w:rPr>
                <w:rFonts w:hint="eastAsia" w:ascii="黑体" w:hAnsi="黑体" w:eastAsia="黑体" w:cs="楷体_GB2312"/>
                <w:b/>
                <w:bCs/>
                <w:color w:val="auto"/>
                <w:kern w:val="0"/>
                <w:szCs w:val="21"/>
              </w:rPr>
              <w:t>（</w:t>
            </w:r>
            <w:r>
              <w:rPr>
                <w:rFonts w:ascii="黑体" w:hAnsi="黑体" w:eastAsia="黑体" w:cs="楷体_GB2312"/>
                <w:b/>
                <w:bCs/>
                <w:color w:val="auto"/>
                <w:kern w:val="0"/>
                <w:szCs w:val="21"/>
              </w:rPr>
              <w:t>12</w:t>
            </w:r>
            <w:r>
              <w:rPr>
                <w:rFonts w:hint="eastAsia" w:ascii="黑体" w:hAnsi="黑体" w:eastAsia="黑体" w:cs="楷体_GB2312"/>
                <w:b/>
                <w:bCs/>
                <w:color w:val="auto"/>
                <w:kern w:val="0"/>
                <w:szCs w:val="21"/>
              </w:rPr>
              <w:t>分）</w:t>
            </w:r>
          </w:p>
        </w:tc>
        <w:tc>
          <w:tcPr>
            <w:tcW w:w="2500" w:type="pct"/>
            <w:vAlign w:val="center"/>
          </w:tcPr>
          <w:p>
            <w:pPr>
              <w:keepNext/>
              <w:widowControl/>
              <w:jc w:val="left"/>
              <w:rPr>
                <w:rFonts w:ascii="仿宋_GB2312" w:hAnsi="仿宋_GB2312" w:eastAsia="仿宋_GB2312" w:cs="仿宋_GB2312"/>
                <w:b/>
                <w:bCs/>
                <w:color w:val="auto"/>
                <w:kern w:val="0"/>
                <w:sz w:val="24"/>
              </w:rPr>
            </w:pPr>
            <w:r>
              <w:rPr>
                <w:rFonts w:hint="eastAsia" w:ascii="仿宋_GB2312" w:hAnsi="仿宋_GB2312" w:eastAsia="仿宋_GB2312" w:cs="仿宋_GB2312"/>
                <w:color w:val="auto"/>
                <w:kern w:val="0"/>
                <w:sz w:val="24"/>
              </w:rPr>
              <w:t>1</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各单位在文明创建工作中开展的创新举措或特色做法，视效果计1-4分。</w:t>
            </w:r>
          </w:p>
        </w:tc>
        <w:tc>
          <w:tcPr>
            <w:tcW w:w="949" w:type="pct"/>
            <w:vAlign w:val="center"/>
          </w:tcPr>
          <w:p>
            <w:pPr>
              <w:keepNext/>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各单位提供实证材料</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blHeader/>
        </w:trPr>
        <w:tc>
          <w:tcPr>
            <w:tcW w:w="537" w:type="pct"/>
            <w:vMerge w:val="continue"/>
            <w:vAlign w:val="center"/>
          </w:tcPr>
          <w:p>
            <w:pPr>
              <w:keepNext/>
              <w:widowControl/>
              <w:jc w:val="center"/>
              <w:rPr>
                <w:rFonts w:ascii="Times New Roman" w:eastAsia="黑体"/>
                <w:b/>
                <w:bCs/>
                <w:color w:val="auto"/>
                <w:kern w:val="0"/>
                <w:szCs w:val="21"/>
              </w:rPr>
            </w:pPr>
          </w:p>
        </w:tc>
        <w:tc>
          <w:tcPr>
            <w:tcW w:w="650" w:type="pct"/>
            <w:vMerge w:val="continue"/>
            <w:vAlign w:val="center"/>
          </w:tcPr>
          <w:p>
            <w:pPr>
              <w:keepNext/>
              <w:widowControl/>
              <w:jc w:val="center"/>
              <w:rPr>
                <w:rFonts w:ascii="黑体" w:hAnsi="黑体" w:eastAsia="黑体"/>
                <w:b/>
                <w:bCs/>
                <w:color w:val="auto"/>
                <w:kern w:val="0"/>
                <w:szCs w:val="21"/>
              </w:rPr>
            </w:pPr>
          </w:p>
        </w:tc>
        <w:tc>
          <w:tcPr>
            <w:tcW w:w="2500" w:type="pct"/>
            <w:vAlign w:val="center"/>
          </w:tcPr>
          <w:p>
            <w:pPr>
              <w:keepNext/>
              <w:widowControl/>
              <w:jc w:val="left"/>
              <w:rPr>
                <w:rFonts w:ascii="仿宋_GB2312" w:hAnsi="仿宋_GB2312" w:eastAsia="仿宋_GB2312" w:cs="仿宋_GB2312"/>
                <w:b/>
                <w:bCs/>
                <w:color w:val="auto"/>
                <w:kern w:val="0"/>
                <w:sz w:val="24"/>
              </w:rPr>
            </w:pPr>
            <w:r>
              <w:rPr>
                <w:rFonts w:hint="eastAsia" w:ascii="仿宋_GB2312" w:hAnsi="仿宋_GB2312" w:eastAsia="仿宋_GB2312" w:cs="仿宋_GB2312"/>
                <w:color w:val="auto"/>
                <w:kern w:val="0"/>
                <w:sz w:val="24"/>
              </w:rPr>
              <w:t>2</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在完成日常创建工作基础上，主动承担学校精神文明创建活动，视参与程度及相关材料提供情况一次计2分，最高计</w:t>
            </w:r>
            <w:r>
              <w:rPr>
                <w:rFonts w:ascii="仿宋_GB2312" w:hAnsi="仿宋_GB2312" w:eastAsia="仿宋_GB2312" w:cs="仿宋_GB2312"/>
                <w:color w:val="auto"/>
                <w:kern w:val="0"/>
                <w:sz w:val="24"/>
              </w:rPr>
              <w:t>8</w:t>
            </w:r>
            <w:r>
              <w:rPr>
                <w:rFonts w:hint="eastAsia" w:ascii="仿宋_GB2312" w:hAnsi="仿宋_GB2312" w:eastAsia="仿宋_GB2312" w:cs="仿宋_GB2312"/>
                <w:color w:val="auto"/>
                <w:kern w:val="0"/>
                <w:sz w:val="24"/>
              </w:rPr>
              <w:t>分。</w:t>
            </w:r>
          </w:p>
        </w:tc>
        <w:tc>
          <w:tcPr>
            <w:tcW w:w="949" w:type="pct"/>
            <w:vAlign w:val="center"/>
          </w:tcPr>
          <w:p>
            <w:pPr>
              <w:keepNext/>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根据校文明办认定计分</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5" w:hRule="atLeast"/>
          <w:tblHeader/>
        </w:trPr>
        <w:tc>
          <w:tcPr>
            <w:tcW w:w="537" w:type="pct"/>
            <w:vMerge w:val="continue"/>
            <w:vAlign w:val="center"/>
          </w:tcPr>
          <w:p>
            <w:pPr>
              <w:keepNext/>
              <w:widowControl/>
              <w:jc w:val="center"/>
              <w:rPr>
                <w:rFonts w:ascii="Times New Roman" w:eastAsia="黑体"/>
                <w:b/>
                <w:bCs/>
                <w:color w:val="auto"/>
                <w:kern w:val="0"/>
                <w:szCs w:val="21"/>
              </w:rPr>
            </w:pPr>
          </w:p>
        </w:tc>
        <w:tc>
          <w:tcPr>
            <w:tcW w:w="650" w:type="pct"/>
            <w:vAlign w:val="center"/>
          </w:tcPr>
          <w:p>
            <w:pPr>
              <w:keepNext/>
              <w:widowControl/>
              <w:jc w:val="center"/>
              <w:rPr>
                <w:rFonts w:ascii="黑体" w:hAnsi="黑体" w:eastAsia="黑体" w:cs="楷体_GB2312"/>
                <w:b/>
                <w:bCs/>
                <w:color w:val="auto"/>
                <w:kern w:val="0"/>
                <w:szCs w:val="21"/>
              </w:rPr>
            </w:pPr>
            <w:r>
              <w:rPr>
                <w:rFonts w:hint="eastAsia" w:ascii="黑体" w:hAnsi="黑体" w:eastAsia="黑体" w:cs="楷体_GB2312"/>
                <w:b/>
                <w:bCs/>
                <w:color w:val="auto"/>
                <w:kern w:val="0"/>
                <w:szCs w:val="21"/>
              </w:rPr>
              <w:t>新闻宣传</w:t>
            </w:r>
          </w:p>
          <w:p>
            <w:pPr>
              <w:keepNext/>
              <w:widowControl/>
              <w:jc w:val="center"/>
              <w:rPr>
                <w:rFonts w:ascii="黑体" w:hAnsi="黑体" w:eastAsia="黑体"/>
                <w:b/>
                <w:bCs/>
                <w:color w:val="auto"/>
                <w:kern w:val="0"/>
                <w:szCs w:val="21"/>
              </w:rPr>
            </w:pPr>
            <w:r>
              <w:rPr>
                <w:rFonts w:hint="eastAsia" w:ascii="黑体" w:hAnsi="黑体" w:eastAsia="黑体" w:cs="楷体_GB2312"/>
                <w:b/>
                <w:bCs/>
                <w:color w:val="auto"/>
                <w:kern w:val="0"/>
                <w:szCs w:val="21"/>
              </w:rPr>
              <w:t>（</w:t>
            </w:r>
            <w:r>
              <w:rPr>
                <w:rFonts w:ascii="黑体" w:hAnsi="黑体" w:eastAsia="黑体" w:cs="楷体_GB2312"/>
                <w:b/>
                <w:bCs/>
                <w:color w:val="auto"/>
                <w:kern w:val="0"/>
                <w:szCs w:val="21"/>
              </w:rPr>
              <w:t>6</w:t>
            </w:r>
            <w:r>
              <w:rPr>
                <w:rFonts w:hint="eastAsia" w:ascii="黑体" w:hAnsi="黑体" w:eastAsia="黑体" w:cs="楷体_GB2312"/>
                <w:b/>
                <w:bCs/>
                <w:color w:val="auto"/>
                <w:kern w:val="0"/>
                <w:szCs w:val="21"/>
              </w:rPr>
              <w:t>分）</w:t>
            </w:r>
          </w:p>
        </w:tc>
        <w:tc>
          <w:tcPr>
            <w:tcW w:w="2500" w:type="pct"/>
            <w:vAlign w:val="center"/>
          </w:tcPr>
          <w:p>
            <w:pPr>
              <w:keepNext/>
              <w:widowControl/>
              <w:jc w:val="left"/>
              <w:rPr>
                <w:rFonts w:ascii="仿宋_GB2312" w:hAnsi="仿宋_GB2312" w:eastAsia="仿宋_GB2312" w:cs="仿宋_GB2312"/>
                <w:b/>
                <w:bCs/>
                <w:color w:val="auto"/>
                <w:kern w:val="0"/>
                <w:sz w:val="24"/>
              </w:rPr>
            </w:pPr>
            <w:r>
              <w:rPr>
                <w:rFonts w:hint="eastAsia" w:ascii="仿宋_GB2312" w:hAnsi="仿宋_GB2312" w:eastAsia="仿宋_GB2312" w:cs="仿宋_GB2312"/>
                <w:color w:val="auto"/>
                <w:kern w:val="0"/>
                <w:sz w:val="24"/>
              </w:rPr>
              <w:t>在省级及以上主流媒体刊播宣传本单位工作的稿件，每篇计2分；在学校新闻网、文明网和校报发表本单位教职工撰写（署名）的文明校园创建工作的新闻稿件，每篇计1分（同一篇稿件不重复计分）。最高计</w:t>
            </w:r>
            <w:r>
              <w:rPr>
                <w:rFonts w:ascii="仿宋_GB2312" w:hAnsi="仿宋_GB2312" w:eastAsia="仿宋_GB2312" w:cs="仿宋_GB2312"/>
                <w:color w:val="auto"/>
                <w:kern w:val="0"/>
                <w:sz w:val="24"/>
              </w:rPr>
              <w:t>6</w:t>
            </w:r>
            <w:r>
              <w:rPr>
                <w:rFonts w:hint="eastAsia" w:ascii="仿宋_GB2312" w:hAnsi="仿宋_GB2312" w:eastAsia="仿宋_GB2312" w:cs="仿宋_GB2312"/>
                <w:color w:val="auto"/>
                <w:kern w:val="0"/>
                <w:sz w:val="24"/>
              </w:rPr>
              <w:t>分。</w:t>
            </w:r>
          </w:p>
        </w:tc>
        <w:tc>
          <w:tcPr>
            <w:tcW w:w="949" w:type="pct"/>
            <w:vAlign w:val="center"/>
          </w:tcPr>
          <w:p>
            <w:pPr>
              <w:keepNext/>
              <w:widowControl/>
              <w:jc w:val="center"/>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提供相关稿件电子版或复印件、电视视频截图、用稿通知等</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blHeader/>
        </w:trPr>
        <w:tc>
          <w:tcPr>
            <w:tcW w:w="537"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一级指标</w:t>
            </w:r>
          </w:p>
        </w:tc>
        <w:tc>
          <w:tcPr>
            <w:tcW w:w="650"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二级指标</w:t>
            </w:r>
          </w:p>
        </w:tc>
        <w:tc>
          <w:tcPr>
            <w:tcW w:w="2500"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评价标准</w:t>
            </w:r>
          </w:p>
        </w:tc>
        <w:tc>
          <w:tcPr>
            <w:tcW w:w="949"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hint="eastAsia" w:ascii="黑体" w:hAnsi="宋体" w:eastAsia="黑体" w:cs="宋体"/>
                <w:b/>
                <w:bCs/>
                <w:color w:val="auto"/>
                <w:kern w:val="0"/>
                <w:sz w:val="24"/>
              </w:rPr>
              <w:t>评价方式</w:t>
            </w:r>
          </w:p>
        </w:tc>
        <w:tc>
          <w:tcPr>
            <w:tcW w:w="361" w:type="pct"/>
            <w:tcBorders>
              <w:top w:val="single" w:color="auto" w:sz="4" w:space="0"/>
            </w:tcBorders>
            <w:vAlign w:val="center"/>
          </w:tcPr>
          <w:p>
            <w:pPr>
              <w:keepNext/>
              <w:widowControl/>
              <w:jc w:val="center"/>
              <w:rPr>
                <w:rFonts w:ascii="黑体" w:hAnsi="宋体" w:eastAsia="黑体" w:cs="宋体"/>
                <w:b/>
                <w:bCs/>
                <w:color w:val="auto"/>
                <w:kern w:val="0"/>
                <w:sz w:val="24"/>
              </w:rPr>
            </w:pPr>
            <w:r>
              <w:rPr>
                <w:rFonts w:ascii="黑体" w:hAnsi="宋体" w:eastAsia="黑体" w:cs="宋体"/>
                <w:b/>
                <w:bCs/>
                <w:color w:val="auto"/>
                <w:kern w:val="0"/>
                <w:sz w:val="24"/>
              </w:rPr>
              <w:t>自评</w:t>
            </w:r>
          </w:p>
          <w:p>
            <w:pPr>
              <w:keepNext/>
              <w:widowControl/>
              <w:jc w:val="center"/>
              <w:rPr>
                <w:rFonts w:ascii="黑体" w:hAnsi="宋体" w:eastAsia="黑体" w:cs="宋体"/>
                <w:b/>
                <w:bCs/>
                <w:color w:val="auto"/>
                <w:kern w:val="0"/>
                <w:sz w:val="24"/>
              </w:rPr>
            </w:pPr>
            <w:r>
              <w:rPr>
                <w:rFonts w:ascii="黑体" w:hAnsi="宋体" w:eastAsia="黑体" w:cs="宋体"/>
                <w:b/>
                <w:bCs/>
                <w:color w:val="auto"/>
                <w:kern w:val="0"/>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blHeader/>
        </w:trPr>
        <w:tc>
          <w:tcPr>
            <w:tcW w:w="537" w:type="pct"/>
            <w:vMerge w:val="restart"/>
            <w:vAlign w:val="center"/>
          </w:tcPr>
          <w:p>
            <w:pPr>
              <w:keepNext/>
              <w:widowControl/>
              <w:jc w:val="center"/>
              <w:rPr>
                <w:rFonts w:ascii="Times New Roman" w:eastAsia="黑体"/>
                <w:b/>
                <w:bCs/>
                <w:color w:val="auto"/>
                <w:kern w:val="0"/>
                <w:szCs w:val="21"/>
              </w:rPr>
            </w:pPr>
            <w:r>
              <w:rPr>
                <w:rFonts w:hint="eastAsia" w:ascii="Times New Roman" w:eastAsia="黑体"/>
                <w:b/>
                <w:bCs/>
                <w:color w:val="auto"/>
                <w:kern w:val="0"/>
                <w:szCs w:val="21"/>
              </w:rPr>
              <w:t>扣分事项</w:t>
            </w:r>
          </w:p>
        </w:tc>
        <w:tc>
          <w:tcPr>
            <w:tcW w:w="650" w:type="pct"/>
            <w:vMerge w:val="restart"/>
            <w:vAlign w:val="center"/>
          </w:tcPr>
          <w:p>
            <w:pPr>
              <w:keepNext/>
              <w:widowControl/>
              <w:jc w:val="center"/>
              <w:rPr>
                <w:rFonts w:ascii="黑体" w:hAnsi="黑体" w:eastAsia="黑体"/>
                <w:b/>
                <w:bCs/>
                <w:color w:val="auto"/>
                <w:kern w:val="0"/>
                <w:szCs w:val="21"/>
              </w:rPr>
            </w:pPr>
            <w:r>
              <w:rPr>
                <w:rFonts w:hint="eastAsia" w:ascii="黑体" w:hAnsi="黑体" w:eastAsia="黑体" w:cs="楷体_GB2312"/>
                <w:b/>
                <w:bCs/>
                <w:color w:val="auto"/>
                <w:kern w:val="0"/>
                <w:szCs w:val="21"/>
              </w:rPr>
              <w:t>创建周期内</w:t>
            </w:r>
          </w:p>
        </w:tc>
        <w:tc>
          <w:tcPr>
            <w:tcW w:w="2500" w:type="pct"/>
            <w:vAlign w:val="center"/>
          </w:tcPr>
          <w:p>
            <w:pPr>
              <w:keepNext/>
              <w:keepLines w:val="0"/>
              <w:pageBreakBefore w:val="0"/>
              <w:widowControl/>
              <w:kinsoku/>
              <w:wordWrap/>
              <w:overflowPunct/>
              <w:topLinePunct w:val="0"/>
              <w:autoSpaceDE/>
              <w:autoSpaceDN/>
              <w:bidi w:val="0"/>
              <w:adjustRightInd/>
              <w:snapToGrid/>
              <w:spacing w:line="260" w:lineRule="exact"/>
              <w:jc w:val="left"/>
              <w:textAlignment w:val="auto"/>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1</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主要领导在本单位任职期间有严重违纪、违法事件。视情况每人次扣</w:t>
            </w:r>
            <w:r>
              <w:rPr>
                <w:rFonts w:ascii="仿宋_GB2312" w:hAnsi="仿宋_GB2312" w:eastAsia="仿宋_GB2312" w:cs="仿宋_GB2312"/>
                <w:color w:val="auto"/>
                <w:kern w:val="0"/>
                <w:sz w:val="24"/>
              </w:rPr>
              <w:t>5</w:t>
            </w:r>
            <w:r>
              <w:rPr>
                <w:rFonts w:hint="eastAsia" w:ascii="仿宋_GB2312" w:hAnsi="仿宋_GB2312" w:eastAsia="仿宋_GB2312" w:cs="仿宋_GB2312"/>
                <w:color w:val="auto"/>
                <w:kern w:val="0"/>
                <w:sz w:val="24"/>
              </w:rPr>
              <w:t>-</w:t>
            </w:r>
            <w:r>
              <w:rPr>
                <w:rFonts w:ascii="仿宋_GB2312" w:hAnsi="仿宋_GB2312" w:eastAsia="仿宋_GB2312" w:cs="仿宋_GB2312"/>
                <w:color w:val="auto"/>
                <w:kern w:val="0"/>
                <w:sz w:val="24"/>
              </w:rPr>
              <w:t>10</w:t>
            </w:r>
            <w:r>
              <w:rPr>
                <w:rFonts w:hint="eastAsia" w:ascii="仿宋_GB2312" w:hAnsi="仿宋_GB2312" w:eastAsia="仿宋_GB2312" w:cs="仿宋_GB2312"/>
                <w:color w:val="auto"/>
                <w:kern w:val="0"/>
                <w:sz w:val="24"/>
              </w:rPr>
              <w:t>分。</w:t>
            </w:r>
          </w:p>
        </w:tc>
        <w:tc>
          <w:tcPr>
            <w:tcW w:w="949" w:type="pct"/>
            <w:vAlign w:val="center"/>
          </w:tcPr>
          <w:p>
            <w:pPr>
              <w:keepNext/>
              <w:keepLines w:val="0"/>
              <w:pageBreakBefore w:val="0"/>
              <w:widowControl/>
              <w:kinsoku/>
              <w:wordWrap/>
              <w:overflowPunct/>
              <w:topLinePunct w:val="0"/>
              <w:autoSpaceDE/>
              <w:autoSpaceDN/>
              <w:bidi w:val="0"/>
              <w:adjustRightInd/>
              <w:snapToGrid/>
              <w:spacing w:line="260" w:lineRule="exact"/>
              <w:jc w:val="center"/>
              <w:textAlignment w:val="auto"/>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lang w:val="en-US" w:eastAsia="zh-CN"/>
              </w:rPr>
              <w:t>校</w:t>
            </w:r>
            <w:r>
              <w:rPr>
                <w:rFonts w:hint="eastAsia" w:ascii="仿宋_GB2312" w:hAnsi="仿宋_GB2312" w:eastAsia="仿宋_GB2312" w:cs="仿宋_GB2312"/>
                <w:color w:val="auto"/>
                <w:kern w:val="0"/>
                <w:sz w:val="24"/>
              </w:rPr>
              <w:t>纪委（监察专员办公室）</w:t>
            </w:r>
            <w:r>
              <w:rPr>
                <w:rFonts w:hint="eastAsia" w:ascii="仿宋_GB2312" w:hAnsi="仿宋_GB2312" w:eastAsia="仿宋_GB2312" w:cs="仿宋_GB2312"/>
                <w:color w:val="auto"/>
                <w:kern w:val="0"/>
                <w:sz w:val="24"/>
                <w:lang w:val="en-US" w:eastAsia="zh-CN"/>
              </w:rPr>
              <w:t>综合室</w:t>
            </w:r>
            <w:r>
              <w:rPr>
                <w:rFonts w:hint="eastAsia"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lang w:val="en-US" w:eastAsia="zh-CN"/>
              </w:rPr>
              <w:t>党委</w:t>
            </w:r>
            <w:r>
              <w:rPr>
                <w:rFonts w:hint="eastAsia" w:ascii="仿宋_GB2312" w:hAnsi="仿宋_GB2312" w:eastAsia="仿宋_GB2312" w:cs="仿宋_GB2312"/>
                <w:color w:val="auto"/>
                <w:kern w:val="0"/>
                <w:sz w:val="24"/>
              </w:rPr>
              <w:t>组织部提供</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blHeader/>
        </w:trPr>
        <w:tc>
          <w:tcPr>
            <w:tcW w:w="537" w:type="pct"/>
            <w:vMerge w:val="continue"/>
            <w:vAlign w:val="center"/>
          </w:tcPr>
          <w:p>
            <w:pPr>
              <w:keepNext/>
              <w:widowControl/>
              <w:jc w:val="center"/>
              <w:rPr>
                <w:rFonts w:ascii="Times New Roman" w:eastAsia="黑体"/>
                <w:b/>
                <w:bCs/>
                <w:color w:val="auto"/>
                <w:kern w:val="0"/>
                <w:szCs w:val="21"/>
              </w:rPr>
            </w:pPr>
          </w:p>
        </w:tc>
        <w:tc>
          <w:tcPr>
            <w:tcW w:w="650" w:type="pct"/>
            <w:vMerge w:val="continue"/>
            <w:vAlign w:val="center"/>
          </w:tcPr>
          <w:p>
            <w:pPr>
              <w:keepNext/>
              <w:widowControl/>
              <w:jc w:val="center"/>
              <w:rPr>
                <w:rFonts w:ascii="Times New Roman" w:eastAsia="黑体"/>
                <w:b/>
                <w:bCs/>
                <w:color w:val="auto"/>
                <w:kern w:val="0"/>
                <w:szCs w:val="21"/>
              </w:rPr>
            </w:pPr>
          </w:p>
        </w:tc>
        <w:tc>
          <w:tcPr>
            <w:tcW w:w="2500" w:type="pct"/>
            <w:vAlign w:val="center"/>
          </w:tcPr>
          <w:p>
            <w:pPr>
              <w:keepNext/>
              <w:keepLines w:val="0"/>
              <w:pageBreakBefore w:val="0"/>
              <w:widowControl/>
              <w:kinsoku/>
              <w:wordWrap/>
              <w:overflowPunct/>
              <w:topLinePunct w:val="0"/>
              <w:autoSpaceDE/>
              <w:autoSpaceDN/>
              <w:bidi w:val="0"/>
              <w:adjustRightInd/>
              <w:snapToGrid/>
              <w:spacing w:line="260" w:lineRule="exact"/>
              <w:jc w:val="left"/>
              <w:textAlignment w:val="auto"/>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2</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本单位师生意识形态领域出现错误倾向。视情况每人次扣</w:t>
            </w:r>
            <w:r>
              <w:rPr>
                <w:rFonts w:ascii="仿宋_GB2312" w:hAnsi="仿宋_GB2312" w:eastAsia="仿宋_GB2312" w:cs="仿宋_GB2312"/>
                <w:color w:val="auto"/>
                <w:kern w:val="0"/>
                <w:sz w:val="24"/>
              </w:rPr>
              <w:t>5</w:t>
            </w:r>
            <w:r>
              <w:rPr>
                <w:rFonts w:hint="eastAsia" w:ascii="仿宋_GB2312" w:hAnsi="仿宋_GB2312" w:eastAsia="仿宋_GB2312" w:cs="仿宋_GB2312"/>
                <w:color w:val="auto"/>
                <w:kern w:val="0"/>
                <w:sz w:val="24"/>
              </w:rPr>
              <w:t>-</w:t>
            </w:r>
            <w:r>
              <w:rPr>
                <w:rFonts w:ascii="仿宋_GB2312" w:hAnsi="仿宋_GB2312" w:eastAsia="仿宋_GB2312" w:cs="仿宋_GB2312"/>
                <w:color w:val="auto"/>
                <w:kern w:val="0"/>
                <w:sz w:val="24"/>
              </w:rPr>
              <w:t>10</w:t>
            </w:r>
            <w:r>
              <w:rPr>
                <w:rFonts w:hint="eastAsia" w:ascii="仿宋_GB2312" w:hAnsi="仿宋_GB2312" w:eastAsia="仿宋_GB2312" w:cs="仿宋_GB2312"/>
                <w:color w:val="auto"/>
                <w:kern w:val="0"/>
                <w:sz w:val="24"/>
              </w:rPr>
              <w:t>分。</w:t>
            </w:r>
          </w:p>
        </w:tc>
        <w:tc>
          <w:tcPr>
            <w:tcW w:w="949" w:type="pct"/>
            <w:vAlign w:val="center"/>
          </w:tcPr>
          <w:p>
            <w:pPr>
              <w:keepNext/>
              <w:keepLines w:val="0"/>
              <w:pageBreakBefore w:val="0"/>
              <w:widowControl/>
              <w:kinsoku/>
              <w:wordWrap/>
              <w:overflowPunct/>
              <w:topLinePunct w:val="0"/>
              <w:autoSpaceDE/>
              <w:autoSpaceDN/>
              <w:bidi w:val="0"/>
              <w:adjustRightInd/>
              <w:snapToGrid/>
              <w:spacing w:line="260" w:lineRule="exact"/>
              <w:jc w:val="center"/>
              <w:textAlignment w:val="auto"/>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lang w:val="en-US" w:eastAsia="zh-CN"/>
              </w:rPr>
              <w:t>党政办公室</w:t>
            </w:r>
            <w:r>
              <w:rPr>
                <w:rFonts w:hint="eastAsia" w:ascii="仿宋_GB2312" w:hAnsi="仿宋_GB2312" w:eastAsia="仿宋_GB2312" w:cs="仿宋_GB2312"/>
                <w:color w:val="auto"/>
                <w:kern w:val="0"/>
                <w:sz w:val="24"/>
              </w:rPr>
              <w:t>、党委宣传部、党委统战部、党委保卫部、党委教师工作部、党委学工</w:t>
            </w:r>
            <w:bookmarkStart w:id="0" w:name="_GoBack"/>
            <w:bookmarkEnd w:id="0"/>
            <w:r>
              <w:rPr>
                <w:rFonts w:hint="eastAsia" w:ascii="仿宋_GB2312" w:hAnsi="仿宋_GB2312" w:eastAsia="仿宋_GB2312" w:cs="仿宋_GB2312"/>
                <w:color w:val="auto"/>
                <w:kern w:val="0"/>
                <w:sz w:val="24"/>
              </w:rPr>
              <w:t>部提供</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537" w:type="pct"/>
            <w:vMerge w:val="continue"/>
            <w:vAlign w:val="center"/>
          </w:tcPr>
          <w:p>
            <w:pPr>
              <w:keepNext/>
              <w:widowControl/>
              <w:jc w:val="center"/>
              <w:rPr>
                <w:rFonts w:ascii="Times New Roman" w:eastAsia="黑体"/>
                <w:b/>
                <w:bCs/>
                <w:color w:val="auto"/>
                <w:kern w:val="0"/>
                <w:szCs w:val="21"/>
              </w:rPr>
            </w:pPr>
          </w:p>
        </w:tc>
        <w:tc>
          <w:tcPr>
            <w:tcW w:w="650" w:type="pct"/>
            <w:vMerge w:val="continue"/>
            <w:vAlign w:val="center"/>
          </w:tcPr>
          <w:p>
            <w:pPr>
              <w:keepNext/>
              <w:widowControl/>
              <w:jc w:val="center"/>
              <w:rPr>
                <w:rFonts w:ascii="Times New Roman" w:eastAsia="黑体"/>
                <w:b/>
                <w:bCs/>
                <w:color w:val="auto"/>
                <w:kern w:val="0"/>
                <w:szCs w:val="21"/>
              </w:rPr>
            </w:pPr>
          </w:p>
        </w:tc>
        <w:tc>
          <w:tcPr>
            <w:tcW w:w="2500" w:type="pct"/>
            <w:vAlign w:val="center"/>
          </w:tcPr>
          <w:p>
            <w:pPr>
              <w:keepNext/>
              <w:keepLines w:val="0"/>
              <w:pageBreakBefore w:val="0"/>
              <w:widowControl/>
              <w:kinsoku/>
              <w:wordWrap/>
              <w:overflowPunct/>
              <w:topLinePunct w:val="0"/>
              <w:autoSpaceDE/>
              <w:autoSpaceDN/>
              <w:bidi w:val="0"/>
              <w:adjustRightInd/>
              <w:snapToGrid/>
              <w:spacing w:line="260" w:lineRule="exact"/>
              <w:jc w:val="left"/>
              <w:textAlignment w:val="auto"/>
              <w:rPr>
                <w:rFonts w:ascii="仿宋_GB2312" w:hAnsi="仿宋_GB2312" w:eastAsia="仿宋_GB2312" w:cs="仿宋_GB2312"/>
                <w:color w:val="auto"/>
                <w:kern w:val="0"/>
                <w:sz w:val="24"/>
              </w:rPr>
            </w:pPr>
            <w:r>
              <w:rPr>
                <w:rFonts w:ascii="仿宋_GB2312" w:hAnsi="仿宋_GB2312" w:eastAsia="仿宋_GB2312" w:cs="仿宋_GB2312"/>
                <w:color w:val="auto"/>
                <w:kern w:val="0"/>
                <w:sz w:val="24"/>
              </w:rPr>
              <w:t>3.</w:t>
            </w:r>
            <w:r>
              <w:rPr>
                <w:rFonts w:hint="eastAsia" w:ascii="仿宋_GB2312" w:hAnsi="仿宋_GB2312" w:eastAsia="仿宋_GB2312" w:cs="仿宋_GB2312"/>
                <w:color w:val="auto"/>
                <w:kern w:val="0"/>
                <w:sz w:val="24"/>
              </w:rPr>
              <w:t>本单位有影响社会稳定事故、不诚信事件、群体性责任事件。视情况扣3-10分。</w:t>
            </w:r>
          </w:p>
        </w:tc>
        <w:tc>
          <w:tcPr>
            <w:tcW w:w="949" w:type="pct"/>
            <w:vAlign w:val="center"/>
          </w:tcPr>
          <w:p>
            <w:pPr>
              <w:keepNext/>
              <w:keepLines w:val="0"/>
              <w:pageBreakBefore w:val="0"/>
              <w:widowControl/>
              <w:kinsoku/>
              <w:wordWrap/>
              <w:overflowPunct/>
              <w:topLinePunct w:val="0"/>
              <w:autoSpaceDE/>
              <w:autoSpaceDN/>
              <w:bidi w:val="0"/>
              <w:adjustRightInd/>
              <w:snapToGrid/>
              <w:spacing w:line="260" w:lineRule="exact"/>
              <w:jc w:val="center"/>
              <w:textAlignment w:val="auto"/>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lang w:val="en-US" w:eastAsia="zh-CN"/>
              </w:rPr>
              <w:t>党政办公室</w:t>
            </w:r>
            <w:r>
              <w:rPr>
                <w:rFonts w:hint="eastAsia" w:ascii="仿宋_GB2312" w:hAnsi="仿宋_GB2312" w:eastAsia="仿宋_GB2312" w:cs="仿宋_GB2312"/>
                <w:color w:val="auto"/>
                <w:kern w:val="0"/>
                <w:sz w:val="24"/>
              </w:rPr>
              <w:t>、党委保卫部提供</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blHeader/>
        </w:trPr>
        <w:tc>
          <w:tcPr>
            <w:tcW w:w="537" w:type="pct"/>
            <w:vMerge w:val="continue"/>
            <w:vAlign w:val="center"/>
          </w:tcPr>
          <w:p>
            <w:pPr>
              <w:keepNext/>
              <w:widowControl/>
              <w:jc w:val="center"/>
              <w:rPr>
                <w:rFonts w:ascii="Times New Roman" w:eastAsia="黑体"/>
                <w:b/>
                <w:bCs/>
                <w:color w:val="auto"/>
                <w:kern w:val="0"/>
                <w:szCs w:val="21"/>
              </w:rPr>
            </w:pPr>
          </w:p>
        </w:tc>
        <w:tc>
          <w:tcPr>
            <w:tcW w:w="650" w:type="pct"/>
            <w:vMerge w:val="continue"/>
            <w:vAlign w:val="center"/>
          </w:tcPr>
          <w:p>
            <w:pPr>
              <w:keepNext/>
              <w:widowControl/>
              <w:jc w:val="center"/>
              <w:rPr>
                <w:rFonts w:ascii="黑体" w:hAnsi="黑体" w:eastAsia="黑体"/>
                <w:b/>
                <w:bCs/>
                <w:color w:val="auto"/>
                <w:kern w:val="0"/>
                <w:szCs w:val="21"/>
              </w:rPr>
            </w:pPr>
          </w:p>
        </w:tc>
        <w:tc>
          <w:tcPr>
            <w:tcW w:w="2500" w:type="pct"/>
            <w:vAlign w:val="center"/>
          </w:tcPr>
          <w:p>
            <w:pPr>
              <w:keepNext/>
              <w:keepLines w:val="0"/>
              <w:pageBreakBefore w:val="0"/>
              <w:widowControl/>
              <w:kinsoku/>
              <w:wordWrap/>
              <w:overflowPunct/>
              <w:topLinePunct w:val="0"/>
              <w:autoSpaceDE/>
              <w:autoSpaceDN/>
              <w:bidi w:val="0"/>
              <w:adjustRightInd/>
              <w:snapToGrid/>
              <w:spacing w:line="260" w:lineRule="exact"/>
              <w:jc w:val="left"/>
              <w:textAlignment w:val="auto"/>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4</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发生校园安全责任事故(包括实验室危险品管理不当造成的事故)、消防责任事故、食物中毒事件。根据事件程度扣</w:t>
            </w:r>
            <w:r>
              <w:rPr>
                <w:rFonts w:ascii="仿宋_GB2312" w:hAnsi="仿宋_GB2312" w:eastAsia="仿宋_GB2312" w:cs="仿宋_GB2312"/>
                <w:color w:val="auto"/>
                <w:kern w:val="0"/>
                <w:sz w:val="24"/>
              </w:rPr>
              <w:t>3</w:t>
            </w:r>
            <w:r>
              <w:rPr>
                <w:rFonts w:hint="eastAsia" w:ascii="仿宋_GB2312" w:hAnsi="仿宋_GB2312" w:eastAsia="仿宋_GB2312" w:cs="仿宋_GB2312"/>
                <w:color w:val="auto"/>
                <w:kern w:val="0"/>
                <w:sz w:val="24"/>
              </w:rPr>
              <w:t>-</w:t>
            </w:r>
            <w:r>
              <w:rPr>
                <w:rFonts w:ascii="仿宋_GB2312" w:hAnsi="仿宋_GB2312" w:eastAsia="仿宋_GB2312" w:cs="仿宋_GB2312"/>
                <w:color w:val="auto"/>
                <w:kern w:val="0"/>
                <w:sz w:val="24"/>
              </w:rPr>
              <w:t>10分</w:t>
            </w:r>
            <w:r>
              <w:rPr>
                <w:rFonts w:hint="eastAsia" w:ascii="仿宋_GB2312" w:hAnsi="仿宋_GB2312" w:eastAsia="仿宋_GB2312" w:cs="仿宋_GB2312"/>
                <w:color w:val="auto"/>
                <w:kern w:val="0"/>
                <w:sz w:val="24"/>
              </w:rPr>
              <w:t>。</w:t>
            </w:r>
          </w:p>
        </w:tc>
        <w:tc>
          <w:tcPr>
            <w:tcW w:w="949" w:type="pct"/>
            <w:vAlign w:val="center"/>
          </w:tcPr>
          <w:p>
            <w:pPr>
              <w:keepNext/>
              <w:keepLines w:val="0"/>
              <w:pageBreakBefore w:val="0"/>
              <w:widowControl/>
              <w:kinsoku/>
              <w:wordWrap/>
              <w:overflowPunct/>
              <w:topLinePunct w:val="0"/>
              <w:autoSpaceDE/>
              <w:autoSpaceDN/>
              <w:bidi w:val="0"/>
              <w:adjustRightInd/>
              <w:snapToGrid/>
              <w:spacing w:line="260" w:lineRule="exact"/>
              <w:jc w:val="center"/>
              <w:textAlignment w:val="auto"/>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lang w:val="en-US" w:eastAsia="zh-CN"/>
              </w:rPr>
              <w:t>党政办公室</w:t>
            </w:r>
            <w:r>
              <w:rPr>
                <w:rFonts w:hint="eastAsia" w:ascii="仿宋_GB2312" w:hAnsi="仿宋_GB2312" w:eastAsia="仿宋_GB2312" w:cs="仿宋_GB2312"/>
                <w:color w:val="auto"/>
                <w:kern w:val="0"/>
                <w:sz w:val="24"/>
              </w:rPr>
              <w:t>、</w:t>
            </w:r>
            <w:r>
              <w:rPr>
                <w:rFonts w:ascii="仿宋_GB2312" w:hAnsi="仿宋_GB2312" w:eastAsia="仿宋_GB2312" w:cs="仿宋_GB2312"/>
                <w:color w:val="auto"/>
                <w:kern w:val="0"/>
                <w:sz w:val="24"/>
              </w:rPr>
              <w:t>党委保卫部</w:t>
            </w:r>
            <w:r>
              <w:rPr>
                <w:rFonts w:hint="eastAsia" w:ascii="仿宋_GB2312" w:hAnsi="仿宋_GB2312" w:eastAsia="仿宋_GB2312" w:cs="仿宋_GB2312"/>
                <w:color w:val="auto"/>
                <w:kern w:val="0"/>
                <w:sz w:val="24"/>
              </w:rPr>
              <w:t>、</w:t>
            </w:r>
            <w:r>
              <w:rPr>
                <w:rFonts w:ascii="仿宋_GB2312" w:hAnsi="仿宋_GB2312" w:eastAsia="仿宋_GB2312" w:cs="仿宋_GB2312"/>
                <w:color w:val="auto"/>
                <w:kern w:val="0"/>
                <w:sz w:val="24"/>
              </w:rPr>
              <w:t>后勤管理处</w:t>
            </w:r>
            <w:r>
              <w:rPr>
                <w:rFonts w:hint="eastAsia" w:ascii="仿宋_GB2312" w:hAnsi="仿宋_GB2312" w:eastAsia="仿宋_GB2312" w:cs="仿宋_GB2312"/>
                <w:color w:val="auto"/>
                <w:kern w:val="0"/>
                <w:sz w:val="24"/>
              </w:rPr>
              <w:t>提供</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blHeader/>
        </w:trPr>
        <w:tc>
          <w:tcPr>
            <w:tcW w:w="537" w:type="pct"/>
            <w:vMerge w:val="continue"/>
            <w:vAlign w:val="center"/>
          </w:tcPr>
          <w:p>
            <w:pPr>
              <w:keepNext/>
              <w:widowControl/>
              <w:jc w:val="center"/>
              <w:rPr>
                <w:rFonts w:ascii="Times New Roman" w:eastAsia="黑体"/>
                <w:b/>
                <w:bCs/>
                <w:color w:val="auto"/>
                <w:kern w:val="0"/>
                <w:szCs w:val="21"/>
              </w:rPr>
            </w:pPr>
          </w:p>
        </w:tc>
        <w:tc>
          <w:tcPr>
            <w:tcW w:w="650" w:type="pct"/>
            <w:vMerge w:val="continue"/>
            <w:vAlign w:val="center"/>
          </w:tcPr>
          <w:p>
            <w:pPr>
              <w:keepNext/>
              <w:widowControl/>
              <w:jc w:val="center"/>
              <w:rPr>
                <w:rFonts w:ascii="Times New Roman" w:eastAsia="黑体"/>
                <w:b/>
                <w:bCs/>
                <w:color w:val="auto"/>
                <w:kern w:val="0"/>
                <w:szCs w:val="21"/>
              </w:rPr>
            </w:pPr>
          </w:p>
        </w:tc>
        <w:tc>
          <w:tcPr>
            <w:tcW w:w="2500" w:type="pct"/>
            <w:vAlign w:val="center"/>
          </w:tcPr>
          <w:p>
            <w:pPr>
              <w:keepNext/>
              <w:keepLines w:val="0"/>
              <w:pageBreakBefore w:val="0"/>
              <w:widowControl/>
              <w:kinsoku/>
              <w:wordWrap/>
              <w:overflowPunct/>
              <w:topLinePunct w:val="0"/>
              <w:autoSpaceDE/>
              <w:autoSpaceDN/>
              <w:bidi w:val="0"/>
              <w:adjustRightInd/>
              <w:snapToGrid/>
              <w:spacing w:line="260" w:lineRule="exact"/>
              <w:jc w:val="left"/>
              <w:textAlignment w:val="auto"/>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5</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师生员工有违法违纪现象，根据事件程度扣3-</w:t>
            </w:r>
            <w:r>
              <w:rPr>
                <w:rFonts w:ascii="仿宋_GB2312" w:hAnsi="仿宋_GB2312" w:eastAsia="仿宋_GB2312" w:cs="仿宋_GB2312"/>
                <w:color w:val="auto"/>
                <w:kern w:val="0"/>
                <w:sz w:val="24"/>
              </w:rPr>
              <w:t>10分</w:t>
            </w:r>
            <w:r>
              <w:rPr>
                <w:rFonts w:hint="eastAsia" w:ascii="仿宋_GB2312" w:hAnsi="仿宋_GB2312" w:eastAsia="仿宋_GB2312" w:cs="仿宋_GB2312"/>
                <w:color w:val="auto"/>
                <w:kern w:val="0"/>
                <w:sz w:val="24"/>
              </w:rPr>
              <w:t>。</w:t>
            </w:r>
          </w:p>
        </w:tc>
        <w:tc>
          <w:tcPr>
            <w:tcW w:w="949" w:type="pct"/>
            <w:vAlign w:val="center"/>
          </w:tcPr>
          <w:p>
            <w:pPr>
              <w:keepNext/>
              <w:keepLines w:val="0"/>
              <w:pageBreakBefore w:val="0"/>
              <w:widowControl/>
              <w:kinsoku/>
              <w:wordWrap/>
              <w:overflowPunct/>
              <w:topLinePunct w:val="0"/>
              <w:autoSpaceDE/>
              <w:autoSpaceDN/>
              <w:bidi w:val="0"/>
              <w:adjustRightInd/>
              <w:snapToGrid/>
              <w:spacing w:line="260" w:lineRule="exact"/>
              <w:jc w:val="center"/>
              <w:textAlignment w:val="auto"/>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lang w:val="en-US" w:eastAsia="zh-CN"/>
              </w:rPr>
              <w:t>校</w:t>
            </w:r>
            <w:r>
              <w:rPr>
                <w:rFonts w:hint="eastAsia" w:ascii="仿宋_GB2312" w:hAnsi="仿宋_GB2312" w:eastAsia="仿宋_GB2312" w:cs="仿宋_GB2312"/>
                <w:color w:val="auto"/>
                <w:kern w:val="0"/>
                <w:sz w:val="24"/>
              </w:rPr>
              <w:t>纪委（监察专员办公室）</w:t>
            </w:r>
            <w:r>
              <w:rPr>
                <w:rFonts w:hint="eastAsia" w:ascii="仿宋_GB2312" w:hAnsi="仿宋_GB2312" w:eastAsia="仿宋_GB2312" w:cs="仿宋_GB2312"/>
                <w:color w:val="auto"/>
                <w:kern w:val="0"/>
                <w:sz w:val="24"/>
                <w:lang w:val="en-US" w:eastAsia="zh-CN"/>
              </w:rPr>
              <w:t>综合室</w:t>
            </w:r>
            <w:r>
              <w:rPr>
                <w:rFonts w:hint="eastAsia" w:ascii="仿宋_GB2312" w:hAnsi="仿宋_GB2312" w:eastAsia="仿宋_GB2312" w:cs="仿宋_GB2312"/>
                <w:color w:val="auto"/>
                <w:kern w:val="0"/>
                <w:sz w:val="24"/>
              </w:rPr>
              <w:t>、党委</w:t>
            </w:r>
            <w:r>
              <w:rPr>
                <w:rFonts w:ascii="仿宋_GB2312" w:hAnsi="仿宋_GB2312" w:eastAsia="仿宋_GB2312" w:cs="仿宋_GB2312"/>
                <w:color w:val="auto"/>
                <w:kern w:val="0"/>
                <w:sz w:val="24"/>
              </w:rPr>
              <w:t>保卫部提供</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tblHeader/>
        </w:trPr>
        <w:tc>
          <w:tcPr>
            <w:tcW w:w="537" w:type="pct"/>
            <w:vMerge w:val="continue"/>
            <w:vAlign w:val="center"/>
          </w:tcPr>
          <w:p>
            <w:pPr>
              <w:keepNext/>
              <w:widowControl/>
              <w:jc w:val="center"/>
              <w:rPr>
                <w:rFonts w:ascii="Times New Roman" w:eastAsia="黑体"/>
                <w:b/>
                <w:bCs/>
                <w:color w:val="auto"/>
                <w:kern w:val="0"/>
                <w:szCs w:val="21"/>
              </w:rPr>
            </w:pPr>
          </w:p>
        </w:tc>
        <w:tc>
          <w:tcPr>
            <w:tcW w:w="650" w:type="pct"/>
            <w:vMerge w:val="continue"/>
            <w:vAlign w:val="center"/>
          </w:tcPr>
          <w:p>
            <w:pPr>
              <w:keepNext/>
              <w:widowControl/>
              <w:jc w:val="center"/>
              <w:rPr>
                <w:rFonts w:ascii="Times New Roman" w:eastAsia="黑体"/>
                <w:b/>
                <w:bCs/>
                <w:color w:val="auto"/>
                <w:kern w:val="0"/>
                <w:szCs w:val="21"/>
              </w:rPr>
            </w:pPr>
          </w:p>
        </w:tc>
        <w:tc>
          <w:tcPr>
            <w:tcW w:w="2500" w:type="pct"/>
            <w:vAlign w:val="center"/>
          </w:tcPr>
          <w:p>
            <w:pPr>
              <w:keepNext/>
              <w:keepLines w:val="0"/>
              <w:pageBreakBefore w:val="0"/>
              <w:widowControl/>
              <w:kinsoku/>
              <w:wordWrap/>
              <w:overflowPunct/>
              <w:topLinePunct w:val="0"/>
              <w:autoSpaceDE/>
              <w:autoSpaceDN/>
              <w:bidi w:val="0"/>
              <w:adjustRightInd/>
              <w:snapToGrid/>
              <w:spacing w:line="260" w:lineRule="exact"/>
              <w:jc w:val="left"/>
              <w:textAlignment w:val="auto"/>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6</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有违规办学（办班）、违规招生和违规收费问题，根据影响程度和金额扣3-</w:t>
            </w:r>
            <w:r>
              <w:rPr>
                <w:rFonts w:ascii="仿宋_GB2312" w:hAnsi="仿宋_GB2312" w:eastAsia="仿宋_GB2312" w:cs="仿宋_GB2312"/>
                <w:color w:val="auto"/>
                <w:kern w:val="0"/>
                <w:sz w:val="24"/>
              </w:rPr>
              <w:t>10分</w:t>
            </w:r>
            <w:r>
              <w:rPr>
                <w:rFonts w:hint="eastAsia" w:ascii="仿宋_GB2312" w:hAnsi="仿宋_GB2312" w:eastAsia="仿宋_GB2312" w:cs="仿宋_GB2312"/>
                <w:color w:val="auto"/>
                <w:kern w:val="0"/>
                <w:sz w:val="24"/>
              </w:rPr>
              <w:t>。</w:t>
            </w:r>
          </w:p>
        </w:tc>
        <w:tc>
          <w:tcPr>
            <w:tcW w:w="949" w:type="pct"/>
            <w:vAlign w:val="center"/>
          </w:tcPr>
          <w:p>
            <w:pPr>
              <w:keepNext/>
              <w:keepLines w:val="0"/>
              <w:pageBreakBefore w:val="0"/>
              <w:widowControl/>
              <w:kinsoku/>
              <w:wordWrap/>
              <w:overflowPunct/>
              <w:topLinePunct w:val="0"/>
              <w:autoSpaceDE/>
              <w:autoSpaceDN/>
              <w:bidi w:val="0"/>
              <w:adjustRightInd/>
              <w:snapToGrid/>
              <w:spacing w:line="260" w:lineRule="exact"/>
              <w:jc w:val="center"/>
              <w:textAlignment w:val="auto"/>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lang w:val="en-US" w:eastAsia="zh-CN"/>
              </w:rPr>
              <w:t>党委研工部</w:t>
            </w:r>
            <w:r>
              <w:rPr>
                <w:rFonts w:hint="eastAsia" w:ascii="仿宋_GB2312" w:hAnsi="仿宋_GB2312" w:eastAsia="仿宋_GB2312" w:cs="仿宋_GB2312"/>
                <w:color w:val="auto"/>
                <w:kern w:val="0"/>
                <w:sz w:val="24"/>
              </w:rPr>
              <w:t>、教务处、</w:t>
            </w:r>
            <w:r>
              <w:rPr>
                <w:rFonts w:hint="eastAsia" w:ascii="仿宋_GB2312" w:hAnsi="仿宋_GB2312" w:eastAsia="仿宋_GB2312" w:cs="仿宋_GB2312"/>
                <w:color w:val="auto"/>
                <w:kern w:val="0"/>
                <w:sz w:val="24"/>
                <w:lang w:val="en-US" w:eastAsia="zh-CN"/>
              </w:rPr>
              <w:t>招生就业处</w:t>
            </w:r>
            <w:r>
              <w:rPr>
                <w:rFonts w:ascii="仿宋_GB2312" w:hAnsi="仿宋_GB2312" w:eastAsia="仿宋_GB2312" w:cs="仿宋_GB2312"/>
                <w:color w:val="auto"/>
                <w:kern w:val="0"/>
                <w:sz w:val="24"/>
              </w:rPr>
              <w:t>提供</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blHeader/>
        </w:trPr>
        <w:tc>
          <w:tcPr>
            <w:tcW w:w="537" w:type="pct"/>
            <w:vMerge w:val="continue"/>
            <w:vAlign w:val="center"/>
          </w:tcPr>
          <w:p>
            <w:pPr>
              <w:keepNext/>
              <w:widowControl/>
              <w:jc w:val="center"/>
              <w:rPr>
                <w:rFonts w:ascii="Times New Roman" w:eastAsia="黑体"/>
                <w:b/>
                <w:bCs/>
                <w:color w:val="auto"/>
                <w:kern w:val="0"/>
                <w:szCs w:val="21"/>
              </w:rPr>
            </w:pPr>
          </w:p>
        </w:tc>
        <w:tc>
          <w:tcPr>
            <w:tcW w:w="650" w:type="pct"/>
            <w:vMerge w:val="continue"/>
            <w:vAlign w:val="center"/>
          </w:tcPr>
          <w:p>
            <w:pPr>
              <w:keepNext/>
              <w:widowControl/>
              <w:jc w:val="center"/>
              <w:rPr>
                <w:rFonts w:ascii="Times New Roman" w:eastAsia="黑体"/>
                <w:b/>
                <w:bCs/>
                <w:color w:val="auto"/>
                <w:kern w:val="0"/>
                <w:szCs w:val="21"/>
              </w:rPr>
            </w:pPr>
          </w:p>
        </w:tc>
        <w:tc>
          <w:tcPr>
            <w:tcW w:w="2500" w:type="pct"/>
            <w:vAlign w:val="center"/>
          </w:tcPr>
          <w:p>
            <w:pPr>
              <w:keepNext/>
              <w:keepLines w:val="0"/>
              <w:pageBreakBefore w:val="0"/>
              <w:widowControl/>
              <w:kinsoku/>
              <w:wordWrap/>
              <w:overflowPunct/>
              <w:topLinePunct w:val="0"/>
              <w:autoSpaceDE/>
              <w:autoSpaceDN/>
              <w:bidi w:val="0"/>
              <w:adjustRightInd/>
              <w:snapToGrid/>
              <w:spacing w:line="260" w:lineRule="exact"/>
              <w:jc w:val="left"/>
              <w:textAlignment w:val="auto"/>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7</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教师中有违反师德的行为，造成恶劣社会影响的，根据影响程度每人次扣3-</w:t>
            </w:r>
            <w:r>
              <w:rPr>
                <w:rFonts w:ascii="仿宋_GB2312" w:hAnsi="仿宋_GB2312" w:eastAsia="仿宋_GB2312" w:cs="仿宋_GB2312"/>
                <w:color w:val="auto"/>
                <w:kern w:val="0"/>
                <w:sz w:val="24"/>
              </w:rPr>
              <w:t>10分</w:t>
            </w:r>
            <w:r>
              <w:rPr>
                <w:rFonts w:hint="eastAsia" w:ascii="仿宋_GB2312" w:hAnsi="仿宋_GB2312" w:eastAsia="仿宋_GB2312" w:cs="仿宋_GB2312"/>
                <w:color w:val="auto"/>
                <w:kern w:val="0"/>
                <w:sz w:val="24"/>
              </w:rPr>
              <w:t>。</w:t>
            </w:r>
          </w:p>
        </w:tc>
        <w:tc>
          <w:tcPr>
            <w:tcW w:w="949" w:type="pct"/>
            <w:vAlign w:val="center"/>
          </w:tcPr>
          <w:p>
            <w:pPr>
              <w:keepNext/>
              <w:keepLines w:val="0"/>
              <w:pageBreakBefore w:val="0"/>
              <w:widowControl/>
              <w:kinsoku/>
              <w:wordWrap/>
              <w:overflowPunct/>
              <w:topLinePunct w:val="0"/>
              <w:autoSpaceDE/>
              <w:autoSpaceDN/>
              <w:bidi w:val="0"/>
              <w:adjustRightInd/>
              <w:snapToGrid/>
              <w:spacing w:line="260" w:lineRule="exact"/>
              <w:jc w:val="center"/>
              <w:textAlignment w:val="auto"/>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党委</w:t>
            </w:r>
            <w:r>
              <w:rPr>
                <w:rFonts w:ascii="仿宋_GB2312" w:hAnsi="仿宋_GB2312" w:eastAsia="仿宋_GB2312" w:cs="仿宋_GB2312"/>
                <w:color w:val="auto"/>
                <w:kern w:val="0"/>
                <w:sz w:val="24"/>
              </w:rPr>
              <w:t>教师工作部提供</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537" w:type="pct"/>
            <w:vMerge w:val="continue"/>
            <w:vAlign w:val="center"/>
          </w:tcPr>
          <w:p>
            <w:pPr>
              <w:keepNext/>
              <w:widowControl/>
              <w:jc w:val="center"/>
              <w:rPr>
                <w:rFonts w:ascii="Times New Roman" w:eastAsia="黑体"/>
                <w:b/>
                <w:bCs/>
                <w:color w:val="auto"/>
                <w:kern w:val="0"/>
                <w:szCs w:val="21"/>
              </w:rPr>
            </w:pPr>
          </w:p>
        </w:tc>
        <w:tc>
          <w:tcPr>
            <w:tcW w:w="650" w:type="pct"/>
            <w:vMerge w:val="continue"/>
            <w:vAlign w:val="center"/>
          </w:tcPr>
          <w:p>
            <w:pPr>
              <w:keepNext/>
              <w:widowControl/>
              <w:jc w:val="center"/>
              <w:rPr>
                <w:rFonts w:ascii="Times New Roman" w:eastAsia="黑体"/>
                <w:b/>
                <w:bCs/>
                <w:color w:val="auto"/>
                <w:kern w:val="0"/>
                <w:szCs w:val="21"/>
              </w:rPr>
            </w:pPr>
          </w:p>
        </w:tc>
        <w:tc>
          <w:tcPr>
            <w:tcW w:w="2500" w:type="pct"/>
            <w:vAlign w:val="center"/>
          </w:tcPr>
          <w:p>
            <w:pPr>
              <w:keepNext/>
              <w:keepLines w:val="0"/>
              <w:pageBreakBefore w:val="0"/>
              <w:widowControl/>
              <w:kinsoku/>
              <w:wordWrap/>
              <w:overflowPunct/>
              <w:topLinePunct w:val="0"/>
              <w:autoSpaceDE/>
              <w:autoSpaceDN/>
              <w:bidi w:val="0"/>
              <w:adjustRightInd/>
              <w:snapToGrid/>
              <w:spacing w:line="260" w:lineRule="exact"/>
              <w:jc w:val="left"/>
              <w:textAlignment w:val="auto"/>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8</w:t>
            </w:r>
            <w:r>
              <w:rPr>
                <w:rFonts w:ascii="仿宋_GB2312" w:hAnsi="仿宋_GB2312" w:eastAsia="仿宋_GB2312" w:cs="仿宋_GB2312"/>
                <w:color w:val="auto"/>
                <w:kern w:val="0"/>
                <w:sz w:val="24"/>
              </w:rPr>
              <w:t>.</w:t>
            </w:r>
            <w:r>
              <w:rPr>
                <w:rFonts w:hint="eastAsia" w:ascii="仿宋_GB2312" w:hAnsi="仿宋_GB2312" w:eastAsia="仿宋_GB2312" w:cs="仿宋_GB2312"/>
                <w:color w:val="auto"/>
                <w:kern w:val="0"/>
                <w:sz w:val="24"/>
              </w:rPr>
              <w:t>就业工作中有就业率作假等违规行为，侵犯学生权益，造成恶劣社会影响的扣3-</w:t>
            </w:r>
            <w:r>
              <w:rPr>
                <w:rFonts w:ascii="仿宋_GB2312" w:hAnsi="仿宋_GB2312" w:eastAsia="仿宋_GB2312" w:cs="仿宋_GB2312"/>
                <w:color w:val="auto"/>
                <w:kern w:val="0"/>
                <w:sz w:val="24"/>
              </w:rPr>
              <w:t>10分</w:t>
            </w:r>
            <w:r>
              <w:rPr>
                <w:rFonts w:hint="eastAsia" w:ascii="仿宋_GB2312" w:hAnsi="仿宋_GB2312" w:eastAsia="仿宋_GB2312" w:cs="仿宋_GB2312"/>
                <w:color w:val="auto"/>
                <w:kern w:val="0"/>
                <w:sz w:val="24"/>
              </w:rPr>
              <w:t>。</w:t>
            </w:r>
          </w:p>
        </w:tc>
        <w:tc>
          <w:tcPr>
            <w:tcW w:w="949" w:type="pct"/>
            <w:vAlign w:val="center"/>
          </w:tcPr>
          <w:p>
            <w:pPr>
              <w:keepNext/>
              <w:keepLines w:val="0"/>
              <w:pageBreakBefore w:val="0"/>
              <w:widowControl/>
              <w:kinsoku/>
              <w:wordWrap/>
              <w:overflowPunct/>
              <w:topLinePunct w:val="0"/>
              <w:autoSpaceDE/>
              <w:autoSpaceDN/>
              <w:bidi w:val="0"/>
              <w:adjustRightInd/>
              <w:snapToGrid/>
              <w:spacing w:line="260" w:lineRule="exact"/>
              <w:jc w:val="center"/>
              <w:textAlignment w:val="auto"/>
              <w:rPr>
                <w:rFonts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lang w:val="en-US" w:eastAsia="zh-CN"/>
              </w:rPr>
              <w:t>招生就业处</w:t>
            </w:r>
            <w:r>
              <w:rPr>
                <w:rFonts w:ascii="仿宋_GB2312" w:hAnsi="仿宋_GB2312" w:eastAsia="仿宋_GB2312" w:cs="仿宋_GB2312"/>
                <w:color w:val="auto"/>
                <w:kern w:val="0"/>
                <w:sz w:val="24"/>
              </w:rPr>
              <w:t>提供</w:t>
            </w:r>
          </w:p>
        </w:tc>
        <w:tc>
          <w:tcPr>
            <w:tcW w:w="361" w:type="pct"/>
            <w:vAlign w:val="center"/>
          </w:tcPr>
          <w:p>
            <w:pPr>
              <w:keepNext/>
              <w:widowControl/>
              <w:jc w:val="center"/>
              <w:rPr>
                <w:rFonts w:ascii="仿宋_GB2312" w:hAnsi="仿宋_GB2312" w:eastAsia="仿宋_GB2312" w:cs="仿宋_GB2312"/>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blHeader/>
        </w:trPr>
        <w:tc>
          <w:tcPr>
            <w:tcW w:w="4638" w:type="pct"/>
            <w:gridSpan w:val="4"/>
            <w:vAlign w:val="center"/>
          </w:tcPr>
          <w:p>
            <w:pPr>
              <w:keepNext/>
              <w:widowControl/>
              <w:jc w:val="center"/>
              <w:rPr>
                <w:rFonts w:ascii="黑体" w:hAnsi="黑体" w:eastAsia="黑体" w:cs="楷体_GB2312"/>
                <w:b/>
                <w:bCs/>
                <w:color w:val="auto"/>
                <w:kern w:val="0"/>
                <w:szCs w:val="21"/>
              </w:rPr>
            </w:pPr>
            <w:r>
              <w:rPr>
                <w:rFonts w:ascii="黑体" w:hAnsi="黑体" w:eastAsia="黑体" w:cs="楷体_GB2312"/>
                <w:b/>
                <w:bCs/>
                <w:color w:val="auto"/>
                <w:kern w:val="0"/>
                <w:szCs w:val="21"/>
              </w:rPr>
              <w:t>总</w:t>
            </w:r>
            <w:r>
              <w:rPr>
                <w:rFonts w:hint="eastAsia" w:ascii="黑体" w:hAnsi="黑体" w:eastAsia="黑体" w:cs="楷体_GB2312"/>
                <w:b/>
                <w:bCs/>
                <w:color w:val="auto"/>
                <w:kern w:val="0"/>
                <w:szCs w:val="21"/>
              </w:rPr>
              <w:t xml:space="preserve">  </w:t>
            </w:r>
            <w:r>
              <w:rPr>
                <w:rFonts w:ascii="黑体" w:hAnsi="黑体" w:eastAsia="黑体" w:cs="楷体_GB2312"/>
                <w:b/>
                <w:bCs/>
                <w:color w:val="auto"/>
                <w:kern w:val="0"/>
                <w:szCs w:val="21"/>
              </w:rPr>
              <w:t>分</w:t>
            </w:r>
          </w:p>
        </w:tc>
        <w:tc>
          <w:tcPr>
            <w:tcW w:w="361" w:type="pct"/>
            <w:vAlign w:val="center"/>
          </w:tcPr>
          <w:p>
            <w:pPr>
              <w:keepNext/>
              <w:widowControl/>
              <w:jc w:val="center"/>
              <w:rPr>
                <w:rFonts w:ascii="仿宋_GB2312" w:hAnsi="仿宋_GB2312" w:eastAsia="仿宋_GB2312" w:cs="仿宋_GB2312"/>
                <w:color w:val="auto"/>
                <w:kern w:val="0"/>
                <w:sz w:val="24"/>
              </w:rPr>
            </w:pPr>
          </w:p>
        </w:tc>
      </w:tr>
    </w:tbl>
    <w:p>
      <w:pPr>
        <w:keepNext w:val="0"/>
        <w:keepLines w:val="0"/>
        <w:pageBreakBefore w:val="0"/>
        <w:widowControl w:val="0"/>
        <w:kinsoku/>
        <w:wordWrap/>
        <w:overflowPunct/>
        <w:topLinePunct w:val="0"/>
        <w:autoSpaceDE/>
        <w:autoSpaceDN/>
        <w:bidi w:val="0"/>
        <w:adjustRightInd w:val="0"/>
        <w:snapToGrid w:val="0"/>
        <w:spacing w:line="300" w:lineRule="exact"/>
        <w:jc w:val="left"/>
        <w:textAlignment w:val="auto"/>
        <w:rPr>
          <w:rFonts w:ascii="仿宋_GB2312" w:hAnsi="仿宋_GB2312" w:eastAsia="仿宋_GB2312" w:cs="仿宋_GB2312"/>
          <w:sz w:val="24"/>
        </w:rPr>
      </w:pPr>
      <w:r>
        <w:rPr>
          <w:rFonts w:hint="eastAsia" w:ascii="仿宋_GB2312" w:hAnsi="仿宋_GB2312" w:eastAsia="仿宋_GB2312" w:cs="仿宋_GB2312"/>
          <w:sz w:val="24"/>
        </w:rPr>
        <w:t>备注：“扣分事项”只扣分，不加分，分数从总得分中直接扣除。</w:t>
      </w: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74654832"/>
      <w:docPartObj>
        <w:docPartGallery w:val="autotext"/>
      </w:docPartObj>
    </w:sdtPr>
    <w:sdtContent>
      <w:p>
        <w:pPr>
          <w:pStyle w:val="2"/>
          <w:jc w:val="center"/>
        </w:pPr>
        <w:r>
          <w:fldChar w:fldCharType="begin"/>
        </w:r>
        <w:r>
          <w:instrText xml:space="preserve">PAGE   \* MERGEFORMAT</w:instrText>
        </w:r>
        <w:r>
          <w:fldChar w:fldCharType="separate"/>
        </w:r>
        <w:r>
          <w:rPr>
            <w:lang w:val="zh-CN"/>
          </w:rPr>
          <w:t>5</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ZDMyNTMxYTMwZmRhMmQ0OTA4M2U4N2M3ZWY3MTAifQ=="/>
  </w:docVars>
  <w:rsids>
    <w:rsidRoot w:val="003A43AC"/>
    <w:rsid w:val="00076BB5"/>
    <w:rsid w:val="000C1D28"/>
    <w:rsid w:val="000C67AA"/>
    <w:rsid w:val="00103A9F"/>
    <w:rsid w:val="00157EAF"/>
    <w:rsid w:val="00196DBB"/>
    <w:rsid w:val="001D2752"/>
    <w:rsid w:val="001F1B0D"/>
    <w:rsid w:val="001F4285"/>
    <w:rsid w:val="0021426C"/>
    <w:rsid w:val="00215039"/>
    <w:rsid w:val="002412FA"/>
    <w:rsid w:val="00281F11"/>
    <w:rsid w:val="002A4D61"/>
    <w:rsid w:val="002E2B92"/>
    <w:rsid w:val="002F5C1C"/>
    <w:rsid w:val="003234FB"/>
    <w:rsid w:val="003438FA"/>
    <w:rsid w:val="00347353"/>
    <w:rsid w:val="00360384"/>
    <w:rsid w:val="003625AA"/>
    <w:rsid w:val="003A43AC"/>
    <w:rsid w:val="003A6E85"/>
    <w:rsid w:val="003C10E8"/>
    <w:rsid w:val="003D69FC"/>
    <w:rsid w:val="00452CB2"/>
    <w:rsid w:val="0045639F"/>
    <w:rsid w:val="004602B2"/>
    <w:rsid w:val="00487EF0"/>
    <w:rsid w:val="004B4347"/>
    <w:rsid w:val="004C0F4D"/>
    <w:rsid w:val="004D2802"/>
    <w:rsid w:val="004D2916"/>
    <w:rsid w:val="004E4C38"/>
    <w:rsid w:val="005569DA"/>
    <w:rsid w:val="00595A72"/>
    <w:rsid w:val="005E4FDD"/>
    <w:rsid w:val="00626484"/>
    <w:rsid w:val="00633905"/>
    <w:rsid w:val="006437B8"/>
    <w:rsid w:val="0064582E"/>
    <w:rsid w:val="006527E8"/>
    <w:rsid w:val="0066715E"/>
    <w:rsid w:val="006C10BD"/>
    <w:rsid w:val="006C5296"/>
    <w:rsid w:val="006F275C"/>
    <w:rsid w:val="00722030"/>
    <w:rsid w:val="0076074E"/>
    <w:rsid w:val="00765567"/>
    <w:rsid w:val="0079584D"/>
    <w:rsid w:val="007A31B9"/>
    <w:rsid w:val="007B746E"/>
    <w:rsid w:val="007E0C0E"/>
    <w:rsid w:val="007E3D01"/>
    <w:rsid w:val="008467E7"/>
    <w:rsid w:val="0086414A"/>
    <w:rsid w:val="00866C60"/>
    <w:rsid w:val="008D21B7"/>
    <w:rsid w:val="008E6FB4"/>
    <w:rsid w:val="008F24AF"/>
    <w:rsid w:val="00906F83"/>
    <w:rsid w:val="00910B99"/>
    <w:rsid w:val="00935407"/>
    <w:rsid w:val="00940041"/>
    <w:rsid w:val="0097078A"/>
    <w:rsid w:val="009A26AC"/>
    <w:rsid w:val="009E09B8"/>
    <w:rsid w:val="009E41F4"/>
    <w:rsid w:val="009F422D"/>
    <w:rsid w:val="00AA10A8"/>
    <w:rsid w:val="00B16F39"/>
    <w:rsid w:val="00B2276C"/>
    <w:rsid w:val="00BD043D"/>
    <w:rsid w:val="00BE2813"/>
    <w:rsid w:val="00C64D40"/>
    <w:rsid w:val="00C967C0"/>
    <w:rsid w:val="00CD0929"/>
    <w:rsid w:val="00CF013B"/>
    <w:rsid w:val="00CF2926"/>
    <w:rsid w:val="00D41EDA"/>
    <w:rsid w:val="00D51C86"/>
    <w:rsid w:val="00D61589"/>
    <w:rsid w:val="00D73347"/>
    <w:rsid w:val="00DB52A3"/>
    <w:rsid w:val="00DC15A9"/>
    <w:rsid w:val="00DE5F24"/>
    <w:rsid w:val="00DE7F22"/>
    <w:rsid w:val="00E10480"/>
    <w:rsid w:val="00E16D08"/>
    <w:rsid w:val="00E224F0"/>
    <w:rsid w:val="00E95DBE"/>
    <w:rsid w:val="00EA7939"/>
    <w:rsid w:val="00ED25A8"/>
    <w:rsid w:val="00F004B2"/>
    <w:rsid w:val="00F46F2B"/>
    <w:rsid w:val="00F61B4C"/>
    <w:rsid w:val="00F866C1"/>
    <w:rsid w:val="00F87E9C"/>
    <w:rsid w:val="02F462DB"/>
    <w:rsid w:val="0B9D55B3"/>
    <w:rsid w:val="1687478E"/>
    <w:rsid w:val="1B7D699F"/>
    <w:rsid w:val="2129256B"/>
    <w:rsid w:val="37E07F0B"/>
    <w:rsid w:val="38E3345C"/>
    <w:rsid w:val="409C1ACF"/>
    <w:rsid w:val="48E90189"/>
    <w:rsid w:val="CF7D7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Char Char1"/>
    <w:basedOn w:val="1"/>
    <w:qFormat/>
    <w:uiPriority w:val="0"/>
    <w:rPr>
      <w:rFonts w:ascii="宋体" w:hAnsi="宋体" w:cs="Courier New"/>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2817</Words>
  <Characters>2942</Characters>
  <Lines>21</Lines>
  <Paragraphs>6</Paragraphs>
  <TotalTime>18</TotalTime>
  <ScaleCrop>false</ScaleCrop>
  <LinksUpToDate>false</LinksUpToDate>
  <CharactersWithSpaces>2944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2021-05-27T23:57:00Z</dcterms:created>
  <dc:creator>admin</dc:creator>
  <cp:lastModifiedBy>晚晴</cp:lastModifiedBy>
  <cp:lastPrinted>2023-04-13T01:23:00Z</cp:lastPrinted>
  <dcterms:modified xsi:type="dcterms:W3CDTF">2023-04-20T09:37:06Z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CB75B07AB1F74E86B37CF066D12FF898</vt:lpwstr>
  </property>
</Properties>
</file>