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乡村振兴战略视角下河南省农村人居环境整治的机制创新研究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河南省先进村镇农村人居环境整治调查及借鉴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以农地经营权配置与保护为重点的农地制度改革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深化农村集体产权制度改革的法治保障进路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我国农地经营权抵押的现实困境与制度创新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三权分置框架下农地经营权抵押融资问题研究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7.中国共产党早期领导人的法律观研究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8.社会思潮对司法的影响研究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9.刑法的明确性研究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10.我国刑法中定量因素的性质研究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11.民法典对法治文化价值立法原则的体现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12.民法典对中华传统法律文化的传承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13.经济法中“互联网平台不正当竞争监管研究”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14.公司法中“关联公司法律规制研究”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15.乡村产业振兴背景下农村电商经济的法律规制研究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16.农村土地流转与土地确权关系研究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17.农业绿色发展法律制度研究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18.民法典背景下知识产权质权客体研究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19.集合物担保物权实现机制研究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20.我国刑法修正案中犯罪化现象反思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6C"/>
    <w:rsid w:val="003E0186"/>
    <w:rsid w:val="0060226C"/>
    <w:rsid w:val="00760449"/>
    <w:rsid w:val="00A0729A"/>
    <w:rsid w:val="00A60177"/>
    <w:rsid w:val="2CBE1D57"/>
    <w:rsid w:val="384F5A8C"/>
    <w:rsid w:val="7E1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26</TotalTime>
  <ScaleCrop>false</ScaleCrop>
  <LinksUpToDate>false</LinksUpToDate>
  <CharactersWithSpaces>145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2021-04-09T04:55:00Z</dcterms:created>
  <dc:creator>798165951@qq.com</dc:creator>
  <cp:lastModifiedBy>Administrator</cp:lastModifiedBy>
  <dcterms:modified xsi:type="dcterms:W3CDTF">2021-04-19T09:47:20Z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