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河南师范大学博士研究生毕业（学位）论文</w:t>
      </w:r>
    </w:p>
    <w:p>
      <w:pPr>
        <w:numPr>
          <w:ilvl w:val="0"/>
          <w:numId w:val="0"/>
        </w:numPr>
        <w:snapToGrid w:val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开题计划表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论文题目（范围）</w:t>
            </w:r>
          </w:p>
        </w:tc>
        <w:tc>
          <w:tcPr>
            <w:tcW w:w="7832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4" w:hRule="atLeast"/>
        </w:trPr>
        <w:tc>
          <w:tcPr>
            <w:tcW w:w="920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论文的主要内容（研究课题的来源、研究目的和意义、国内外研究现状和发展趋势、基本构思、初步见解、预期结果、主要参考文献、实施方案及进度安排等。</w:t>
            </w:r>
            <w:r>
              <w:rPr>
                <w:rFonts w:hint="eastAsia" w:ascii="宋体" w:hAnsi="宋体"/>
                <w:sz w:val="24"/>
                <w:lang w:eastAsia="zh-CN"/>
              </w:rPr>
              <w:t>字数建议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800字左右</w:t>
            </w:r>
            <w:r>
              <w:rPr>
                <w:rFonts w:hint="eastAsia" w:ascii="宋体" w:hAnsi="宋体"/>
                <w:sz w:val="24"/>
              </w:rPr>
              <w:t>）。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bidi w:val="0"/>
              <w:ind w:firstLine="317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317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317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317" w:firstLineChars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napToGrid w:val="0"/>
        <w:jc w:val="both"/>
        <w:rPr>
          <w:rFonts w:hint="default" w:ascii="宋体" w:hAnsi="宋体" w:eastAsia="宋体" w:cs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注：论文开题一般应公开进行。开题第一次未通过者，允许3个月内再进行一次，仍未通过者，按“肄业处理”或“转为硕士培养”。自开题报告通过之日起，从事学位论文工作时间累计应不少于2年。</w:t>
      </w:r>
    </w:p>
    <w:p/>
    <w:sectPr>
      <w:pgSz w:w="11906" w:h="16838"/>
      <w:pgMar w:top="1417" w:right="1406" w:bottom="141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4BAF2280"/>
    <w:rsid w:val="4BA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1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2023-04-07T06:44:00Z</dcterms:created>
  <dc:creator>张卫刚</dc:creator>
  <cp:lastModifiedBy>张卫刚</cp:lastModifiedBy>
  <dcterms:modified xsi:type="dcterms:W3CDTF">2023-04-07T06:46:06Z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61E66D04F5A8445484B1DC66624E0267</vt:lpwstr>
  </property>
</Properties>
</file>