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8D801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河南师范大学2024年“新羽”领航计划新生团支部书记培训班工作方案</w:t>
      </w:r>
    </w:p>
    <w:bookmarkEnd w:id="0"/>
    <w:p w14:paraId="79BB2E5A">
      <w:pPr>
        <w:jc w:val="center"/>
        <w:rPr>
          <w:sz w:val="44"/>
          <w:szCs w:val="44"/>
        </w:rPr>
      </w:pPr>
    </w:p>
    <w:p w14:paraId="1E9B717B">
      <w:pPr>
        <w:rPr>
          <w:rFonts w:hint="eastAsia" w:ascii="仿宋" w:hAnsi="仿宋" w:eastAsia="仿宋" w:cs="仿宋"/>
          <w:color w:val="333333"/>
          <w:kern w:val="0"/>
          <w:sz w:val="31"/>
          <w:szCs w:val="31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  <w:t>各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val="en-US" w:eastAsia="zh-CN"/>
        </w:rPr>
        <w:t>基层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  <w:t>团委：</w:t>
      </w:r>
    </w:p>
    <w:p w14:paraId="24D35645">
      <w:pPr>
        <w:widowControl/>
        <w:ind w:firstLine="620" w:firstLineChars="20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val="en-US" w:eastAsia="zh-CN"/>
        </w:rPr>
        <w:t>为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  <w:t>提升基层团支部工作水平，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val="en-US" w:eastAsia="zh-CN"/>
        </w:rPr>
        <w:t>激发基层组织建设活力，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  <w:t>增强基层团支书工作本领，激励我校团员青年在强国建设、民族复兴的征程中挺膺担当，为全面建设社会主义现代化河南贡献青春力量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  <w:t>根据校党委和上级团组织统一部署，校团委决定举办2024年团学骨干能力提升班。现将有关事宜通知如下：</w:t>
      </w:r>
    </w:p>
    <w:p w14:paraId="1B5D4B66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一、培训时间</w:t>
      </w:r>
    </w:p>
    <w:p w14:paraId="3917109A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2024年11月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日</w:t>
      </w:r>
    </w:p>
    <w:p w14:paraId="507B9951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二、培训对象</w:t>
      </w:r>
    </w:p>
    <w:p w14:paraId="1592BC5D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各院（部）2024级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新生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团支书</w:t>
      </w:r>
    </w:p>
    <w:p w14:paraId="56BDC4B2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三、培训地点</w:t>
      </w:r>
    </w:p>
    <w:p w14:paraId="5B5EA23B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default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学苑餐厅三楼青年活动中心、西区球类馆</w:t>
      </w:r>
    </w:p>
    <w:p w14:paraId="0984FE24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四、培训目标</w:t>
      </w:r>
    </w:p>
    <w:p w14:paraId="04C4251A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深入学习党的二十大精神，深入学习习近平新时代中国特色社会主义思想和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习近平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总书记关于青年工作的重要论述，围绕团的基本知识、团支书的工作方法与技巧、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主题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团日活动设计及“三会两制一课”“推优”“智慧团建”等基础团务进行专题辅导，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旨在通过培训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搭建学员思想碰撞、工作交流的平台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帮助学员迅速成长为熟练团务知识、掌握团务技能的基层学生团干部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提升基层团支部工作水平，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val="en-US" w:eastAsia="zh-CN"/>
        </w:rPr>
        <w:t>激发基层组织建设活力，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引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导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学员坚定中国特色社会主义理想信念，增进对中国特色社会主义的思想认同、政治认同、理论认同和情感认同。</w:t>
      </w:r>
    </w:p>
    <w:p w14:paraId="2CE2EB52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五</w:t>
      </w:r>
      <w:r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</w:rPr>
        <w:t>、培训内容</w:t>
      </w:r>
    </w:p>
    <w:p w14:paraId="5A68F2CB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default" w:ascii="仿宋" w:hAnsi="仿宋" w:eastAsia="仿宋" w:cs="仿宋"/>
          <w:b/>
          <w:bCs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</w:rPr>
        <w:t>1.</w:t>
      </w: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微团课比赛观摩</w:t>
      </w:r>
    </w:p>
    <w:p w14:paraId="76576164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default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组织学员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观摩“团干部上讲台”学生组微团课比赛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，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引导新任团干部在微团课观摩展演中学习党的创新理论、红色故事、榜样人物、典型事迹等，激励新任团干部“知行合一”，增强理论宣传能力，提升模范带头作用。</w:t>
      </w:r>
    </w:p>
    <w:p w14:paraId="0EFC5452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default" w:ascii="仿宋" w:hAnsi="仿宋" w:eastAsia="仿宋" w:cs="仿宋"/>
          <w:b/>
          <w:bCs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</w:rPr>
        <w:t>2.</w:t>
      </w: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基础团务培训</w:t>
      </w:r>
    </w:p>
    <w:p w14:paraId="6FEF14AC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val="en-US" w:eastAsia="zh-CN"/>
        </w:rPr>
        <w:t>结合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  <w:t>党的创新理论和新时代共青团工作的新要求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  <w:t>围绕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  <w:t>三会两制一课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  <w:t>、智慧团建、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  <w:t>推优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</w:rPr>
        <w:t>、团费收缴、团员信息注册、青年大学习等基础团务工作做全面介绍和解读。通过展示师大共青团工作的生机与活力，不断提升基层团干部的政治理论水平与思想觉悟，引导学员见贤思齐，明确未来工作方向。</w:t>
      </w:r>
    </w:p>
    <w:p w14:paraId="0991D1C3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shd w:val="clear" w:color="auto" w:fill="FFFFFF"/>
          <w:lang w:val="en-US" w:eastAsia="zh-CN"/>
        </w:rPr>
        <w:t>3.“活力团支部”“十佳主题团日活动”展示</w:t>
      </w:r>
    </w:p>
    <w:p w14:paraId="7DB6A5BA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shd w:val="clear" w:color="auto" w:fill="FFFFFF"/>
          <w:lang w:val="en-US" w:eastAsia="zh-CN"/>
        </w:rPr>
        <w:t>组织学员观摩“活力团支部”“十佳主题团日活动”优秀成果，通过展示优秀团支部组织建设经验及主题团日活动优秀案例，为新生团支部书记提供典型示范，提升团支部组织运行活力和团员参与活力。</w:t>
      </w:r>
    </w:p>
    <w:p w14:paraId="3B9E091A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</w:rPr>
        <w:t>.</w:t>
      </w: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交流研讨</w:t>
      </w:r>
    </w:p>
    <w:p w14:paraId="7A15598A">
      <w:pPr>
        <w:widowControl/>
        <w:ind w:firstLine="620" w:firstLineChars="200"/>
        <w:jc w:val="left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组织学员分组开展交流研讨，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通过主题研讨和参与主题团日活动策划环节，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深化对党的创新理论丰富内涵的理解，激发学员主动探索精神，同时搭建青年骨干交流平台，多方交流，共同提高。</w:t>
      </w:r>
    </w:p>
    <w:p w14:paraId="73DCB0EB">
      <w:pPr>
        <w:widowControl/>
        <w:ind w:firstLine="620" w:firstLineChars="200"/>
        <w:jc w:val="left"/>
        <w:rPr>
          <w:rFonts w:hint="default" w:ascii="仿宋" w:hAnsi="仿宋" w:eastAsia="仿宋" w:cs="仿宋"/>
          <w:b/>
          <w:bCs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5.特色主题团日活动</w:t>
      </w:r>
    </w:p>
    <w:p w14:paraId="263A1204">
      <w:pPr>
        <w:widowControl/>
        <w:ind w:firstLine="620" w:firstLineChars="200"/>
        <w:jc w:val="left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组织学员素质拓展形式开展特色主题团日活动，鼓励学员通过团建活动增进实践学习能力，搭建全校新生团支书沟通交流平台，提升团干部组织管理和人际交往能力，助力全校团干部队伍建设。</w:t>
      </w:r>
    </w:p>
    <w:p w14:paraId="0D1B87D2">
      <w:pPr>
        <w:widowControl/>
        <w:ind w:firstLine="620" w:firstLineChars="200"/>
        <w:jc w:val="left"/>
        <w:rPr>
          <w:rFonts w:hint="default" w:ascii="仿宋" w:hAnsi="仿宋" w:eastAsia="仿宋" w:cs="仿宋"/>
          <w:b/>
          <w:bCs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6.结业考核</w:t>
      </w:r>
    </w:p>
    <w:p w14:paraId="10DEAF29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default" w:ascii="仿宋" w:hAnsi="仿宋" w:eastAsia="仿宋" w:cs="仿宋"/>
          <w:color w:val="000000"/>
          <w:kern w:val="2"/>
          <w:sz w:val="31"/>
          <w:szCs w:val="31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1"/>
          <w:szCs w:val="31"/>
          <w:shd w:val="clear" w:color="auto" w:fill="FFFFFF"/>
          <w:lang w:val="en-US" w:eastAsia="zh-CN" w:bidi="ar-SA"/>
        </w:rPr>
        <w:t>结合培训内容及基础团务知识，组织学员进行结业考试，加深对共青团理论知识的理解，助力团支部书记掌握开展基层团务工作的方法，以基层团干部队伍建设为抓手推动学校共青团工作提质增效。培训考勤情况及结业考试结果将反馈给各基层团委。</w:t>
      </w:r>
    </w:p>
    <w:p w14:paraId="6EE33A93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1"/>
          <w:szCs w:val="31"/>
          <w:shd w:val="clear" w:color="auto" w:fill="FFFFFF"/>
          <w:lang w:val="en-US" w:eastAsia="zh-CN"/>
        </w:rPr>
        <w:t>六、相关要求</w:t>
      </w:r>
    </w:p>
    <w:p w14:paraId="220CFB98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</w:rPr>
        <w:t>1.提高思想认识。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基层团支书是高校思想政治工作有序开展的桥梁和纽带，各级团组织要从推动高等教育事业发展、培养中国特色社会主义合格建设者和可靠接班人的高度出发，充分认识加强基层团支书培养的必要性和重要性。一方面要做好本期培训班学员报名等相关工作，另一方面要依托各学院（部）二级团校，参照学校培训示范班模式，认真组织开展院（部）级团支书培训，形成全校上下联动的统一格局，切实提升基层团组织工作水平，有效激发基层团组织和干部的青春活力。</w:t>
      </w:r>
    </w:p>
    <w:p w14:paraId="557659D6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</w:rPr>
        <w:t>2.加强组织管理。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本次培训示范班实行校团委统一安排、小组具体管理的制度（学员人数分配请参见附件2，分组情况请参见附件3），各小组长请提前做好相关组织工作和培训期间的管理工作。</w:t>
      </w:r>
    </w:p>
    <w:p w14:paraId="6754D723">
      <w:pPr>
        <w:pStyle w:val="5"/>
        <w:widowControl/>
        <w:spacing w:beforeAutospacing="0" w:afterAutospacing="0" w:line="555" w:lineRule="atLeast"/>
        <w:ind w:right="448" w:firstLine="620" w:firstLineChars="200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1"/>
          <w:szCs w:val="31"/>
          <w:shd w:val="clear" w:color="auto" w:fill="FFFFFF"/>
        </w:rPr>
        <w:t>3.严格纪律要求。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所有学员要严格遵守培训纪律，服从培训管理，做到不缺席、不迟到、不早退，按时签到入场。因故不能参加培训的须提前向组长请假。</w:t>
      </w:r>
    </w:p>
    <w:p w14:paraId="421F1CC4">
      <w:pPr>
        <w:pStyle w:val="5"/>
        <w:widowControl/>
        <w:shd w:val="clear" w:color="auto" w:fill="FFFFFF"/>
        <w:spacing w:beforeAutospacing="0" w:afterAutospacing="0" w:line="360" w:lineRule="auto"/>
        <w:ind w:right="448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联 系 人：孙琳娜</w:t>
      </w:r>
    </w:p>
    <w:p w14:paraId="416BF784">
      <w:pPr>
        <w:pStyle w:val="5"/>
        <w:widowControl/>
        <w:shd w:val="clear" w:color="auto" w:fill="FFFFFF"/>
        <w:spacing w:beforeAutospacing="0" w:afterAutospacing="0" w:line="360" w:lineRule="auto"/>
        <w:ind w:right="448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电子邮箱：hnsdtwzzb@163.com</w:t>
      </w:r>
    </w:p>
    <w:p w14:paraId="62ACD24E">
      <w:pPr>
        <w:pStyle w:val="5"/>
        <w:widowControl/>
        <w:shd w:val="clear" w:color="auto" w:fill="FFFFFF"/>
        <w:spacing w:beforeAutospacing="0" w:afterAutospacing="0" w:line="360" w:lineRule="auto"/>
        <w:ind w:right="448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联系电话：0373-3329072</w:t>
      </w:r>
    </w:p>
    <w:p w14:paraId="1B37899E">
      <w:pPr>
        <w:pStyle w:val="5"/>
        <w:widowControl/>
        <w:shd w:val="clear" w:color="auto" w:fill="FFFFFF"/>
        <w:spacing w:beforeAutospacing="0" w:afterAutospacing="0" w:line="360" w:lineRule="auto"/>
        <w:ind w:right="448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</w:p>
    <w:p w14:paraId="0F61E956">
      <w:pPr>
        <w:pStyle w:val="5"/>
        <w:widowControl/>
        <w:shd w:val="clear" w:color="auto" w:fill="FFFFFF"/>
        <w:spacing w:beforeAutospacing="0" w:afterAutospacing="0" w:line="360" w:lineRule="auto"/>
        <w:ind w:right="448"/>
        <w:jc w:val="right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共青团河南师范大学委员会</w:t>
      </w:r>
    </w:p>
    <w:p w14:paraId="793310DB">
      <w:pPr>
        <w:pStyle w:val="5"/>
        <w:widowControl/>
        <w:shd w:val="clear" w:color="auto" w:fill="FFFFFF"/>
        <w:spacing w:beforeAutospacing="0" w:afterAutospacing="0" w:line="360" w:lineRule="auto"/>
        <w:ind w:right="448"/>
        <w:jc w:val="right"/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2024年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1"/>
          <w:szCs w:val="31"/>
          <w:shd w:val="clear" w:color="auto" w:fill="FFFFFF"/>
        </w:rPr>
        <w:t>日</w:t>
      </w:r>
    </w:p>
    <w:sectPr>
      <w:pgSz w:w="11906" w:h="16838"/>
      <w:pgMar w:top="1474" w:right="1985" w:bottom="1588" w:left="209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BE3379-F703-49D8-8E9F-B511DC17D90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pingfang sc semibold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14CE7152-60F4-4163-8296-F24E3145705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58FED13-4126-4C73-B865-B0F5AFC58F1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YmZlMDg4ZmFmMjcwNzBmYzdlZjE3YmU5M2RlZGYifQ=="/>
  </w:docVars>
  <w:rsids>
    <w:rsidRoot w:val="001B28D7"/>
    <w:rsid w:val="00031119"/>
    <w:rsid w:val="001B28D7"/>
    <w:rsid w:val="003E07E6"/>
    <w:rsid w:val="005E37FE"/>
    <w:rsid w:val="006F5F37"/>
    <w:rsid w:val="007A51EE"/>
    <w:rsid w:val="008216B1"/>
    <w:rsid w:val="00897D88"/>
    <w:rsid w:val="009308F9"/>
    <w:rsid w:val="00F37405"/>
    <w:rsid w:val="00F6081D"/>
    <w:rsid w:val="00F75B42"/>
    <w:rsid w:val="00F958BA"/>
    <w:rsid w:val="011E32C7"/>
    <w:rsid w:val="04CE71C1"/>
    <w:rsid w:val="0641327F"/>
    <w:rsid w:val="1EA60087"/>
    <w:rsid w:val="201F66F9"/>
    <w:rsid w:val="235E453A"/>
    <w:rsid w:val="2F3935D7"/>
    <w:rsid w:val="33CA7EC2"/>
    <w:rsid w:val="3BB3279C"/>
    <w:rsid w:val="4C0F18C2"/>
    <w:rsid w:val="66AD6CD9"/>
    <w:rsid w:val="756D44CC"/>
    <w:rsid w:val="77416BE6"/>
    <w:rsid w:val="78697D94"/>
    <w:rsid w:val="7A0337D7"/>
    <w:rsid w:val="7E27A8AE"/>
    <w:rsid w:val="B65F5E66"/>
    <w:rsid w:val="BF7F771B"/>
    <w:rsid w:val="C3FCA197"/>
    <w:rsid w:val="FDAE9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666666"/>
      <w:u w:val="none"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4">
    <w:name w:val="left"/>
    <w:basedOn w:val="7"/>
    <w:qFormat/>
    <w:uiPriority w:val="0"/>
  </w:style>
  <w:style w:type="character" w:customStyle="1" w:styleId="15">
    <w:name w:val="right"/>
    <w:basedOn w:val="7"/>
    <w:qFormat/>
    <w:uiPriority w:val="0"/>
  </w:style>
  <w:style w:type="character" w:customStyle="1" w:styleId="16">
    <w:name w:val="item-name"/>
    <w:basedOn w:val="7"/>
    <w:qFormat/>
    <w:uiPriority w:val="0"/>
  </w:style>
  <w:style w:type="character" w:customStyle="1" w:styleId="17">
    <w:name w:val="item-name1"/>
    <w:basedOn w:val="7"/>
    <w:qFormat/>
    <w:uiPriority w:val="0"/>
  </w:style>
  <w:style w:type="paragraph" w:customStyle="1" w:styleId="18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Helvetica Neue" w:hAnsi="Helvetica Neue" w:eastAsia="Helvetica Neue" w:cs="Helvetica Neue"/>
      <w:kern w:val="0"/>
      <w:sz w:val="26"/>
      <w:szCs w:val="26"/>
      <w:lang w:val="en-US" w:eastAsia="zh-CN" w:bidi="ar"/>
    </w:rPr>
  </w:style>
  <w:style w:type="paragraph" w:customStyle="1" w:styleId="19">
    <w:name w:val="p2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pingfang sc semibold" w:hAnsi="pingfang sc semibold" w:eastAsia="pingfang sc semibold" w:cs="pingfang sc semibold"/>
      <w:kern w:val="0"/>
      <w:sz w:val="26"/>
      <w:szCs w:val="26"/>
      <w:lang w:val="en-US" w:eastAsia="zh-CN" w:bidi="ar"/>
    </w:rPr>
  </w:style>
  <w:style w:type="character" w:customStyle="1" w:styleId="20">
    <w:name w:val="s1"/>
    <w:basedOn w:val="7"/>
    <w:qFormat/>
    <w:uiPriority w:val="0"/>
    <w:rPr>
      <w:rFonts w:ascii="pingfang sc" w:hAnsi="pingfang sc" w:eastAsia="pingfang sc" w:cs="pingfang sc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1565</Words>
  <Characters>1619</Characters>
  <Lines>12</Lines>
  <Paragraphs>3</Paragraphs>
  <TotalTime>10</TotalTime>
  <ScaleCrop>false</ScaleCrop>
  <LinksUpToDate>false</LinksUpToDate>
  <CharactersWithSpaces>1621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2021-10-27T00:35:00Z</dcterms:created>
  <dc:creator>Administrator</dc:creator>
  <cp:lastModifiedBy>琳娜</cp:lastModifiedBy>
  <dcterms:modified xsi:type="dcterms:W3CDTF">2024-11-01T02:10:28Z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A0177F77ED084D47BBC0F46D778B0E59_13</vt:lpwstr>
  </property>
</Properties>
</file>