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黑体"/>
          <w:bCs/>
          <w:kern w:val="0"/>
          <w:sz w:val="30"/>
          <w:szCs w:val="30"/>
        </w:rPr>
      </w:pPr>
      <w:r>
        <w:rPr>
          <w:rFonts w:hint="eastAsia" w:eastAsia="黑体"/>
          <w:bCs/>
          <w:kern w:val="0"/>
          <w:sz w:val="30"/>
          <w:szCs w:val="30"/>
        </w:rPr>
        <w:t>附件1</w:t>
      </w:r>
    </w:p>
    <w:p>
      <w:pPr>
        <w:overflowPunct w:val="0"/>
        <w:spacing w:before="312" w:beforeLines="100" w:after="312" w:afterLines="100" w:line="560" w:lineRule="exact"/>
        <w:jc w:val="center"/>
      </w:pPr>
      <w:bookmarkStart w:id="0" w:name="_GoBack"/>
      <w:r>
        <w:rPr>
          <w:rFonts w:hint="eastAsia" w:eastAsia="方正小标宋简体"/>
          <w:bCs/>
          <w:sz w:val="32"/>
          <w:szCs w:val="32"/>
        </w:rPr>
        <w:t>全国高校心理危机预防干预网络培训实施方案</w:t>
      </w:r>
    </w:p>
    <w:bookmarkEnd w:id="0"/>
    <w:p>
      <w:pPr>
        <w:spacing w:line="600" w:lineRule="exact"/>
        <w:ind w:firstLine="600" w:firstLineChars="200"/>
        <w:jc w:val="left"/>
        <w:rPr>
          <w:rFonts w:eastAsia="仿宋_GB2312"/>
          <w:kern w:val="0"/>
          <w:sz w:val="30"/>
          <w:szCs w:val="30"/>
          <w:u w:color="000000"/>
        </w:rPr>
      </w:pPr>
      <w:r>
        <w:rPr>
          <w:rFonts w:hint="eastAsia" w:eastAsia="仿宋_GB2312"/>
          <w:kern w:val="0"/>
          <w:sz w:val="30"/>
          <w:szCs w:val="30"/>
        </w:rPr>
        <w:t>为进一步加强高校心理健康教育工作，切实提高心理危机干预工作的针对性、实效性，兹定</w:t>
      </w:r>
      <w:r>
        <w:rPr>
          <w:rFonts w:hint="eastAsia" w:eastAsia="仿宋_GB2312"/>
          <w:kern w:val="0"/>
          <w:sz w:val="30"/>
          <w:szCs w:val="30"/>
          <w:u w:color="000000"/>
        </w:rPr>
        <w:t>于</w:t>
      </w:r>
      <w:r>
        <w:rPr>
          <w:rFonts w:eastAsia="仿宋_GB2312"/>
          <w:kern w:val="0"/>
          <w:sz w:val="30"/>
          <w:szCs w:val="30"/>
          <w:u w:color="000000"/>
        </w:rPr>
        <w:t>2020</w:t>
      </w:r>
      <w:r>
        <w:rPr>
          <w:rFonts w:hint="eastAsia" w:eastAsia="仿宋_GB2312"/>
          <w:kern w:val="0"/>
          <w:sz w:val="30"/>
          <w:szCs w:val="30"/>
          <w:u w:color="000000"/>
        </w:rPr>
        <w:t>年</w:t>
      </w:r>
      <w:r>
        <w:rPr>
          <w:rFonts w:eastAsia="仿宋_GB2312"/>
          <w:kern w:val="0"/>
          <w:sz w:val="30"/>
          <w:szCs w:val="30"/>
          <w:u w:color="000000"/>
        </w:rPr>
        <w:t>11</w:t>
      </w:r>
      <w:r>
        <w:rPr>
          <w:rFonts w:hint="eastAsia" w:eastAsia="仿宋_GB2312"/>
          <w:kern w:val="0"/>
          <w:sz w:val="30"/>
          <w:szCs w:val="30"/>
          <w:u w:color="000000"/>
        </w:rPr>
        <w:t>月下旬组织召开线上全国高校心理危机预防干预网络培训和交流。现制定工作方案如下。</w:t>
      </w:r>
    </w:p>
    <w:p>
      <w:pPr>
        <w:spacing w:line="600" w:lineRule="exact"/>
        <w:ind w:firstLine="600" w:firstLineChars="200"/>
        <w:rPr>
          <w:rFonts w:eastAsia="黑体"/>
          <w:color w:val="000000"/>
          <w:sz w:val="30"/>
          <w:szCs w:val="30"/>
        </w:rPr>
      </w:pPr>
      <w:r>
        <w:rPr>
          <w:rFonts w:hint="eastAsia" w:eastAsia="黑体"/>
          <w:color w:val="000000"/>
          <w:sz w:val="30"/>
          <w:szCs w:val="30"/>
        </w:rPr>
        <w:t>一、培训时间与安排</w:t>
      </w:r>
    </w:p>
    <w:p>
      <w:pPr>
        <w:spacing w:line="600" w:lineRule="exact"/>
        <w:ind w:firstLine="600" w:firstLineChars="200"/>
        <w:jc w:val="left"/>
        <w:rPr>
          <w:rFonts w:eastAsia="仿宋_GB2312"/>
          <w:kern w:val="0"/>
          <w:sz w:val="30"/>
          <w:szCs w:val="30"/>
          <w:u w:color="000000"/>
          <w:lang w:val="zh-TW" w:eastAsia="zh-TW"/>
        </w:rPr>
      </w:pPr>
      <w:r>
        <w:rPr>
          <w:rFonts w:hint="eastAsia" w:eastAsia="仿宋_GB2312"/>
          <w:kern w:val="0"/>
          <w:sz w:val="30"/>
          <w:szCs w:val="30"/>
          <w:u w:color="000000"/>
        </w:rPr>
        <w:t>培训时间为</w:t>
      </w:r>
      <w:r>
        <w:rPr>
          <w:rFonts w:eastAsia="仿宋_GB2312"/>
          <w:kern w:val="0"/>
          <w:sz w:val="30"/>
          <w:szCs w:val="30"/>
          <w:u w:color="000000"/>
        </w:rPr>
        <w:t>2020</w:t>
      </w:r>
      <w:r>
        <w:rPr>
          <w:rFonts w:hint="eastAsia" w:eastAsia="仿宋_GB2312"/>
          <w:kern w:val="0"/>
          <w:sz w:val="30"/>
          <w:szCs w:val="30"/>
          <w:u w:color="000000"/>
        </w:rPr>
        <w:t>年11月</w:t>
      </w:r>
      <w:r>
        <w:rPr>
          <w:rFonts w:eastAsia="仿宋_GB2312"/>
          <w:kern w:val="0"/>
          <w:sz w:val="30"/>
          <w:szCs w:val="30"/>
          <w:u w:color="000000"/>
        </w:rPr>
        <w:t>1</w:t>
      </w:r>
      <w:r>
        <w:rPr>
          <w:rFonts w:hint="eastAsia" w:eastAsia="仿宋_GB2312"/>
          <w:kern w:val="0"/>
          <w:sz w:val="30"/>
          <w:szCs w:val="30"/>
          <w:u w:color="000000"/>
        </w:rPr>
        <w:t>9日至12月1</w:t>
      </w:r>
      <w:r>
        <w:rPr>
          <w:rFonts w:eastAsia="仿宋_GB2312"/>
          <w:kern w:val="0"/>
          <w:sz w:val="30"/>
          <w:szCs w:val="30"/>
          <w:u w:color="000000"/>
        </w:rPr>
        <w:t>9</w:t>
      </w:r>
      <w:r>
        <w:rPr>
          <w:rFonts w:hint="eastAsia" w:eastAsia="仿宋_GB2312"/>
          <w:kern w:val="0"/>
          <w:sz w:val="30"/>
          <w:szCs w:val="30"/>
          <w:u w:color="000000"/>
        </w:rPr>
        <w:t>日，分为报名、学习、总结三个阶段，具体安排见下表：</w:t>
      </w:r>
    </w:p>
    <w:tbl>
      <w:tblPr>
        <w:tblStyle w:val="5"/>
        <w:tblW w:w="8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1828"/>
        <w:gridCol w:w="1830"/>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PrEx>
        <w:trPr>
          <w:trHeight w:val="401" w:hRule="atLeast"/>
          <w:jc w:val="center"/>
        </w:trPr>
        <w:tc>
          <w:tcPr>
            <w:tcW w:w="1828" w:type="dxa"/>
            <w:shd w:val="clear" w:color="auto" w:fill="auto"/>
            <w:tcMar>
              <w:top w:w="80" w:type="dxa"/>
              <w:left w:w="80" w:type="dxa"/>
              <w:bottom w:w="80" w:type="dxa"/>
              <w:right w:w="80" w:type="dxa"/>
            </w:tcMar>
            <w:vAlign w:val="center"/>
          </w:tcPr>
          <w:p>
            <w:pPr>
              <w:pStyle w:val="6"/>
              <w:widowControl/>
              <w:spacing w:line="400" w:lineRule="exact"/>
              <w:jc w:val="center"/>
              <w:rPr>
                <w:rFonts w:eastAsia="仿宋_GB2312" w:cs="Times New Roman"/>
                <w:kern w:val="0"/>
                <w:sz w:val="24"/>
                <w:szCs w:val="24"/>
              </w:rPr>
            </w:pPr>
            <w:r>
              <w:rPr>
                <w:rFonts w:hint="eastAsia" w:eastAsia="仿宋_GB2312" w:cs="Times New Roman"/>
                <w:b/>
                <w:bCs/>
                <w:kern w:val="0"/>
                <w:sz w:val="24"/>
                <w:szCs w:val="24"/>
                <w:lang w:val="zh-TW" w:eastAsia="zh-TW"/>
              </w:rPr>
              <w:t>培训阶段</w:t>
            </w:r>
          </w:p>
        </w:tc>
        <w:tc>
          <w:tcPr>
            <w:tcW w:w="1830" w:type="dxa"/>
            <w:shd w:val="clear" w:color="auto" w:fill="auto"/>
            <w:vAlign w:val="center"/>
          </w:tcPr>
          <w:p>
            <w:pPr>
              <w:pStyle w:val="6"/>
              <w:widowControl/>
              <w:spacing w:line="400" w:lineRule="exact"/>
              <w:jc w:val="center"/>
              <w:rPr>
                <w:rFonts w:eastAsia="仿宋_GB2312" w:cs="Times New Roman"/>
                <w:kern w:val="0"/>
                <w:sz w:val="24"/>
                <w:szCs w:val="24"/>
              </w:rPr>
            </w:pPr>
            <w:r>
              <w:rPr>
                <w:rFonts w:hint="eastAsia" w:eastAsia="仿宋_GB2312" w:cs="Times New Roman"/>
                <w:b/>
                <w:bCs/>
                <w:kern w:val="0"/>
                <w:sz w:val="24"/>
                <w:szCs w:val="24"/>
                <w:lang w:val="zh-TW" w:eastAsia="zh-TW"/>
              </w:rPr>
              <w:t>培训时间</w:t>
            </w:r>
          </w:p>
        </w:tc>
        <w:tc>
          <w:tcPr>
            <w:tcW w:w="4768" w:type="dxa"/>
            <w:shd w:val="clear" w:color="auto" w:fill="auto"/>
            <w:vAlign w:val="center"/>
          </w:tcPr>
          <w:p>
            <w:pPr>
              <w:pStyle w:val="6"/>
              <w:widowControl/>
              <w:spacing w:line="400" w:lineRule="exact"/>
              <w:jc w:val="center"/>
              <w:rPr>
                <w:rFonts w:eastAsia="仿宋_GB2312" w:cs="Times New Roman"/>
                <w:kern w:val="0"/>
                <w:sz w:val="24"/>
                <w:szCs w:val="24"/>
              </w:rPr>
            </w:pPr>
            <w:r>
              <w:rPr>
                <w:rFonts w:hint="eastAsia" w:eastAsia="仿宋_GB2312" w:cs="Times New Roman"/>
                <w:b/>
                <w:bCs/>
                <w:kern w:val="0"/>
                <w:sz w:val="24"/>
                <w:szCs w:val="24"/>
                <w:lang w:val="zh-TW" w:eastAsia="zh-TW"/>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9" w:hRule="atLeast"/>
          <w:jc w:val="center"/>
        </w:trPr>
        <w:tc>
          <w:tcPr>
            <w:tcW w:w="1828" w:type="dxa"/>
            <w:shd w:val="clear" w:color="auto" w:fill="auto"/>
            <w:tcMar>
              <w:top w:w="80" w:type="dxa"/>
              <w:left w:w="80" w:type="dxa"/>
              <w:bottom w:w="80" w:type="dxa"/>
              <w:right w:w="80" w:type="dxa"/>
            </w:tcMar>
            <w:vAlign w:val="center"/>
          </w:tcPr>
          <w:p>
            <w:pPr>
              <w:pStyle w:val="6"/>
              <w:spacing w:line="400" w:lineRule="exact"/>
              <w:jc w:val="center"/>
              <w:rPr>
                <w:rFonts w:eastAsia="仿宋_GB2312" w:cs="Times New Roman"/>
                <w:kern w:val="0"/>
                <w:sz w:val="24"/>
                <w:szCs w:val="24"/>
              </w:rPr>
            </w:pPr>
            <w:r>
              <w:rPr>
                <w:rFonts w:hint="eastAsia" w:eastAsia="仿宋_GB2312" w:cs="Times New Roman"/>
                <w:kern w:val="0"/>
                <w:sz w:val="24"/>
                <w:szCs w:val="24"/>
              </w:rPr>
              <w:t>报名</w:t>
            </w:r>
            <w:r>
              <w:rPr>
                <w:rFonts w:hint="eastAsia" w:eastAsia="仿宋_GB2312" w:cs="Times New Roman"/>
                <w:kern w:val="0"/>
                <w:sz w:val="24"/>
                <w:szCs w:val="24"/>
                <w:lang w:val="zh-TW" w:eastAsia="zh-TW"/>
              </w:rPr>
              <w:t>阶段</w:t>
            </w:r>
          </w:p>
        </w:tc>
        <w:tc>
          <w:tcPr>
            <w:tcW w:w="1830" w:type="dxa"/>
            <w:shd w:val="clear" w:color="auto" w:fill="auto"/>
            <w:vAlign w:val="center"/>
          </w:tcPr>
          <w:p>
            <w:pPr>
              <w:pStyle w:val="6"/>
              <w:spacing w:line="400" w:lineRule="exact"/>
              <w:jc w:val="center"/>
              <w:rPr>
                <w:rFonts w:eastAsia="仿宋_GB2312" w:cs="Times New Roman"/>
                <w:kern w:val="0"/>
                <w:sz w:val="24"/>
                <w:szCs w:val="24"/>
                <w:lang w:val="zh-TW"/>
              </w:rPr>
            </w:pPr>
            <w:r>
              <w:rPr>
                <w:rFonts w:eastAsia="仿宋_GB2312" w:cs="Times New Roman"/>
                <w:kern w:val="0"/>
                <w:sz w:val="24"/>
                <w:szCs w:val="24"/>
              </w:rPr>
              <w:t>11</w:t>
            </w:r>
            <w:r>
              <w:rPr>
                <w:rFonts w:eastAsia="仿宋_GB2312" w:cs="Times New Roman"/>
                <w:kern w:val="0"/>
                <w:sz w:val="24"/>
                <w:szCs w:val="24"/>
                <w:lang w:val="zh-TW"/>
              </w:rPr>
              <w:t>月</w:t>
            </w:r>
            <w:r>
              <w:rPr>
                <w:rFonts w:eastAsia="仿宋_GB2312" w:cs="Times New Roman"/>
                <w:kern w:val="0"/>
                <w:sz w:val="24"/>
                <w:szCs w:val="24"/>
              </w:rPr>
              <w:t>1</w:t>
            </w:r>
            <w:r>
              <w:rPr>
                <w:rFonts w:hint="eastAsia" w:eastAsia="仿宋_GB2312" w:cs="Times New Roman"/>
                <w:kern w:val="0"/>
                <w:sz w:val="24"/>
                <w:szCs w:val="24"/>
              </w:rPr>
              <w:t>9</w:t>
            </w:r>
            <w:r>
              <w:rPr>
                <w:rFonts w:eastAsia="仿宋_GB2312" w:cs="Times New Roman"/>
                <w:kern w:val="0"/>
                <w:sz w:val="24"/>
                <w:szCs w:val="24"/>
                <w:lang w:val="zh-TW"/>
              </w:rPr>
              <w:t>日至</w:t>
            </w:r>
          </w:p>
          <w:p>
            <w:pPr>
              <w:pStyle w:val="6"/>
              <w:spacing w:line="400" w:lineRule="exact"/>
              <w:jc w:val="center"/>
              <w:rPr>
                <w:rFonts w:eastAsia="仿宋_GB2312" w:cs="Times New Roman"/>
                <w:kern w:val="0"/>
                <w:sz w:val="24"/>
                <w:szCs w:val="24"/>
                <w:lang w:val="zh-TW"/>
              </w:rPr>
            </w:pPr>
            <w:r>
              <w:rPr>
                <w:rFonts w:eastAsia="仿宋_GB2312" w:cs="Times New Roman"/>
                <w:kern w:val="0"/>
                <w:sz w:val="24"/>
                <w:szCs w:val="24"/>
              </w:rPr>
              <w:t>11</w:t>
            </w:r>
            <w:r>
              <w:rPr>
                <w:rFonts w:eastAsia="仿宋_GB2312" w:cs="Times New Roman"/>
                <w:kern w:val="0"/>
                <w:sz w:val="24"/>
                <w:szCs w:val="24"/>
                <w:lang w:val="zh-TW"/>
              </w:rPr>
              <w:t>月</w:t>
            </w:r>
            <w:r>
              <w:rPr>
                <w:rFonts w:eastAsia="仿宋_GB2312" w:cs="Times New Roman"/>
                <w:kern w:val="0"/>
                <w:sz w:val="24"/>
                <w:szCs w:val="24"/>
              </w:rPr>
              <w:t>27</w:t>
            </w:r>
            <w:r>
              <w:rPr>
                <w:rFonts w:eastAsia="仿宋_GB2312" w:cs="Times New Roman"/>
                <w:kern w:val="0"/>
                <w:sz w:val="24"/>
                <w:szCs w:val="24"/>
                <w:lang w:val="zh-TW"/>
              </w:rPr>
              <w:t>日</w:t>
            </w:r>
          </w:p>
        </w:tc>
        <w:tc>
          <w:tcPr>
            <w:tcW w:w="4768" w:type="dxa"/>
            <w:shd w:val="clear" w:color="auto" w:fill="auto"/>
            <w:vAlign w:val="center"/>
          </w:tcPr>
          <w:p>
            <w:pPr>
              <w:pStyle w:val="6"/>
              <w:spacing w:line="400" w:lineRule="exact"/>
              <w:rPr>
                <w:rFonts w:eastAsia="仿宋_GB2312" w:cs="Times New Roman"/>
                <w:kern w:val="0"/>
                <w:sz w:val="24"/>
                <w:szCs w:val="24"/>
              </w:rPr>
            </w:pPr>
            <w:r>
              <w:rPr>
                <w:rFonts w:eastAsia="仿宋_GB2312" w:cs="Times New Roman"/>
                <w:kern w:val="0"/>
                <w:sz w:val="24"/>
                <w:szCs w:val="24"/>
              </w:rPr>
              <w:t xml:space="preserve">1. </w:t>
            </w:r>
            <w:r>
              <w:rPr>
                <w:rFonts w:eastAsia="仿宋_GB2312" w:cs="Times New Roman"/>
                <w:kern w:val="0"/>
                <w:sz w:val="24"/>
                <w:szCs w:val="24"/>
                <w:lang w:val="zh-TW" w:eastAsia="zh-TW"/>
              </w:rPr>
              <w:t>发放培训通知，部署培训工作</w:t>
            </w:r>
            <w:r>
              <w:rPr>
                <w:rFonts w:eastAsia="仿宋_GB2312" w:cs="Times New Roman"/>
                <w:kern w:val="0"/>
                <w:sz w:val="24"/>
                <w:szCs w:val="24"/>
                <w:lang w:val="zh-TW"/>
              </w:rPr>
              <w:t>；</w:t>
            </w:r>
          </w:p>
          <w:p>
            <w:pPr>
              <w:pStyle w:val="6"/>
              <w:spacing w:line="400" w:lineRule="exact"/>
              <w:rPr>
                <w:rFonts w:eastAsia="仿宋_GB2312" w:cs="Times New Roman"/>
                <w:kern w:val="0"/>
                <w:sz w:val="24"/>
                <w:szCs w:val="24"/>
              </w:rPr>
            </w:pPr>
            <w:r>
              <w:rPr>
                <w:rFonts w:eastAsia="仿宋_GB2312" w:cs="Times New Roman"/>
                <w:kern w:val="0"/>
                <w:sz w:val="24"/>
                <w:szCs w:val="24"/>
              </w:rPr>
              <w:t>2. 建立培训管理团队，进行训前指导；</w:t>
            </w:r>
          </w:p>
          <w:p>
            <w:pPr>
              <w:pStyle w:val="6"/>
              <w:spacing w:line="400" w:lineRule="exact"/>
              <w:rPr>
                <w:rFonts w:eastAsia="仿宋_GB2312" w:cs="Times New Roman"/>
                <w:kern w:val="0"/>
                <w:sz w:val="24"/>
                <w:szCs w:val="24"/>
              </w:rPr>
            </w:pPr>
            <w:r>
              <w:rPr>
                <w:rFonts w:eastAsia="仿宋_GB2312" w:cs="Times New Roman"/>
                <w:kern w:val="0"/>
                <w:sz w:val="24"/>
                <w:szCs w:val="24"/>
              </w:rPr>
              <w:t xml:space="preserve">3. </w:t>
            </w:r>
            <w:r>
              <w:rPr>
                <w:rFonts w:hint="eastAsia" w:eastAsia="仿宋_GB2312" w:cs="Times New Roman"/>
                <w:kern w:val="0"/>
                <w:sz w:val="24"/>
                <w:szCs w:val="24"/>
              </w:rPr>
              <w:t>报送各地培训实施方案和回执表。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jc w:val="center"/>
        </w:trPr>
        <w:tc>
          <w:tcPr>
            <w:tcW w:w="1828" w:type="dxa"/>
            <w:shd w:val="clear" w:color="auto" w:fill="auto"/>
            <w:tcMar>
              <w:top w:w="80" w:type="dxa"/>
              <w:left w:w="80" w:type="dxa"/>
              <w:bottom w:w="80" w:type="dxa"/>
              <w:right w:w="80" w:type="dxa"/>
            </w:tcMar>
            <w:vAlign w:val="center"/>
          </w:tcPr>
          <w:p>
            <w:pPr>
              <w:pStyle w:val="6"/>
              <w:spacing w:line="400" w:lineRule="exact"/>
              <w:jc w:val="center"/>
              <w:rPr>
                <w:rFonts w:eastAsia="仿宋_GB2312" w:cs="Times New Roman"/>
                <w:kern w:val="0"/>
                <w:sz w:val="24"/>
                <w:szCs w:val="24"/>
              </w:rPr>
            </w:pPr>
            <w:r>
              <w:rPr>
                <w:rFonts w:hint="eastAsia" w:eastAsia="仿宋_GB2312" w:cs="Times New Roman"/>
                <w:kern w:val="0"/>
                <w:sz w:val="24"/>
                <w:szCs w:val="24"/>
                <w:lang w:val="zh-TW" w:eastAsia="zh-TW"/>
              </w:rPr>
              <w:t>学习阶段</w:t>
            </w:r>
          </w:p>
        </w:tc>
        <w:tc>
          <w:tcPr>
            <w:tcW w:w="1830" w:type="dxa"/>
            <w:shd w:val="clear" w:color="auto" w:fill="auto"/>
            <w:vAlign w:val="center"/>
          </w:tcPr>
          <w:p>
            <w:pPr>
              <w:pStyle w:val="6"/>
              <w:spacing w:line="400" w:lineRule="exact"/>
              <w:jc w:val="center"/>
              <w:rPr>
                <w:rFonts w:eastAsia="仿宋_GB2312" w:cs="Times New Roman"/>
                <w:kern w:val="0"/>
                <w:sz w:val="24"/>
                <w:szCs w:val="24"/>
              </w:rPr>
            </w:pPr>
            <w:r>
              <w:rPr>
                <w:rFonts w:eastAsia="仿宋_GB2312" w:cs="Times New Roman"/>
                <w:kern w:val="0"/>
                <w:sz w:val="24"/>
                <w:szCs w:val="24"/>
              </w:rPr>
              <w:t>11月28日至</w:t>
            </w:r>
          </w:p>
          <w:p>
            <w:pPr>
              <w:pStyle w:val="6"/>
              <w:spacing w:line="400" w:lineRule="exact"/>
              <w:jc w:val="center"/>
              <w:rPr>
                <w:rFonts w:eastAsia="仿宋_GB2312" w:cs="Times New Roman"/>
                <w:kern w:val="0"/>
                <w:sz w:val="24"/>
                <w:szCs w:val="24"/>
              </w:rPr>
            </w:pPr>
            <w:r>
              <w:rPr>
                <w:rFonts w:eastAsia="仿宋_GB2312" w:cs="Times New Roman"/>
                <w:kern w:val="0"/>
                <w:sz w:val="24"/>
                <w:szCs w:val="24"/>
              </w:rPr>
              <w:t>12月8 日</w:t>
            </w:r>
          </w:p>
        </w:tc>
        <w:tc>
          <w:tcPr>
            <w:tcW w:w="4768" w:type="dxa"/>
            <w:shd w:val="clear" w:color="auto" w:fill="auto"/>
            <w:vAlign w:val="center"/>
          </w:tcPr>
          <w:p>
            <w:pPr>
              <w:pStyle w:val="6"/>
              <w:spacing w:line="400" w:lineRule="exact"/>
              <w:rPr>
                <w:rFonts w:eastAsia="仿宋_GB2312" w:cs="Times New Roman"/>
                <w:kern w:val="0"/>
                <w:sz w:val="24"/>
                <w:szCs w:val="24"/>
              </w:rPr>
            </w:pPr>
            <w:r>
              <w:rPr>
                <w:rFonts w:eastAsia="仿宋_GB2312" w:cs="Times New Roman"/>
                <w:kern w:val="0"/>
                <w:sz w:val="24"/>
                <w:szCs w:val="24"/>
              </w:rPr>
              <w:t>1. 参训学员按照教学计划，完成规定课程，参与主题研讨，撰写学习心得</w:t>
            </w:r>
            <w:r>
              <w:rPr>
                <w:rFonts w:hint="eastAsia" w:eastAsia="仿宋_GB2312" w:cs="Times New Roman"/>
                <w:kern w:val="0"/>
                <w:sz w:val="24"/>
                <w:szCs w:val="24"/>
              </w:rPr>
              <w:t>；</w:t>
            </w:r>
          </w:p>
          <w:p>
            <w:pPr>
              <w:pStyle w:val="6"/>
              <w:spacing w:line="400" w:lineRule="exact"/>
              <w:rPr>
                <w:rFonts w:eastAsia="仿宋_GB2312" w:cs="Times New Roman"/>
                <w:kern w:val="0"/>
                <w:sz w:val="24"/>
                <w:szCs w:val="24"/>
              </w:rPr>
            </w:pPr>
            <w:r>
              <w:rPr>
                <w:rFonts w:eastAsia="仿宋_GB2312" w:cs="Times New Roman"/>
                <w:kern w:val="0"/>
                <w:sz w:val="24"/>
                <w:szCs w:val="24"/>
              </w:rPr>
              <w:t>2. 各地党委教育工作部门加强统筹，做好培训</w:t>
            </w:r>
            <w:r>
              <w:rPr>
                <w:rFonts w:hint="eastAsia" w:eastAsia="仿宋_GB2312" w:cs="Times New Roman"/>
                <w:kern w:val="0"/>
                <w:sz w:val="24"/>
                <w:szCs w:val="24"/>
              </w:rPr>
              <w:t>指导，协助做好服务保障。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6" w:hRule="atLeast"/>
          <w:jc w:val="center"/>
        </w:trPr>
        <w:tc>
          <w:tcPr>
            <w:tcW w:w="1828" w:type="dxa"/>
            <w:shd w:val="clear" w:color="auto" w:fill="auto"/>
            <w:tcMar>
              <w:top w:w="80" w:type="dxa"/>
              <w:left w:w="80" w:type="dxa"/>
              <w:bottom w:w="80" w:type="dxa"/>
              <w:right w:w="80" w:type="dxa"/>
            </w:tcMar>
            <w:vAlign w:val="center"/>
          </w:tcPr>
          <w:p>
            <w:pPr>
              <w:pStyle w:val="6"/>
              <w:spacing w:line="400" w:lineRule="exact"/>
              <w:jc w:val="center"/>
              <w:rPr>
                <w:rFonts w:eastAsia="仿宋_GB2312" w:cs="Times New Roman"/>
                <w:kern w:val="0"/>
                <w:sz w:val="24"/>
                <w:szCs w:val="24"/>
              </w:rPr>
            </w:pPr>
            <w:r>
              <w:rPr>
                <w:rFonts w:hint="eastAsia" w:eastAsia="仿宋_GB2312" w:cs="Times New Roman"/>
                <w:kern w:val="0"/>
                <w:sz w:val="24"/>
                <w:szCs w:val="24"/>
                <w:lang w:val="zh-TW" w:eastAsia="zh-TW"/>
              </w:rPr>
              <w:t>总结阶段</w:t>
            </w:r>
          </w:p>
        </w:tc>
        <w:tc>
          <w:tcPr>
            <w:tcW w:w="1830" w:type="dxa"/>
            <w:shd w:val="clear" w:color="auto" w:fill="auto"/>
            <w:vAlign w:val="center"/>
          </w:tcPr>
          <w:p>
            <w:pPr>
              <w:pStyle w:val="6"/>
              <w:spacing w:line="400" w:lineRule="exact"/>
              <w:jc w:val="center"/>
              <w:rPr>
                <w:rFonts w:eastAsia="仿宋_GB2312" w:cs="Times New Roman"/>
                <w:kern w:val="0"/>
                <w:sz w:val="24"/>
                <w:szCs w:val="24"/>
              </w:rPr>
            </w:pPr>
            <w:r>
              <w:rPr>
                <w:rFonts w:eastAsia="仿宋_GB2312" w:cs="Times New Roman"/>
                <w:kern w:val="0"/>
                <w:sz w:val="24"/>
                <w:szCs w:val="24"/>
              </w:rPr>
              <w:t>12月9日至</w:t>
            </w:r>
          </w:p>
          <w:p>
            <w:pPr>
              <w:pStyle w:val="6"/>
              <w:spacing w:line="400" w:lineRule="exact"/>
              <w:jc w:val="center"/>
              <w:rPr>
                <w:rFonts w:eastAsia="仿宋_GB2312" w:cs="Times New Roman"/>
                <w:kern w:val="0"/>
                <w:sz w:val="24"/>
                <w:szCs w:val="24"/>
              </w:rPr>
            </w:pPr>
            <w:r>
              <w:rPr>
                <w:rFonts w:eastAsia="仿宋_GB2312" w:cs="Times New Roman"/>
                <w:kern w:val="0"/>
                <w:sz w:val="24"/>
                <w:szCs w:val="24"/>
              </w:rPr>
              <w:t>12月19日</w:t>
            </w:r>
          </w:p>
        </w:tc>
        <w:tc>
          <w:tcPr>
            <w:tcW w:w="4768" w:type="dxa"/>
            <w:shd w:val="clear" w:color="auto" w:fill="auto"/>
            <w:vAlign w:val="center"/>
          </w:tcPr>
          <w:p>
            <w:pPr>
              <w:pStyle w:val="6"/>
              <w:spacing w:line="400" w:lineRule="exact"/>
              <w:rPr>
                <w:rFonts w:eastAsia="仿宋_GB2312" w:cs="Times New Roman"/>
                <w:kern w:val="0"/>
                <w:sz w:val="24"/>
                <w:szCs w:val="24"/>
              </w:rPr>
            </w:pPr>
            <w:r>
              <w:rPr>
                <w:rFonts w:eastAsia="仿宋_GB2312" w:cs="Times New Roman"/>
                <w:kern w:val="0"/>
                <w:sz w:val="24"/>
                <w:szCs w:val="24"/>
              </w:rPr>
              <w:t>1. 各地党委教育工作部门提交培训工作总结；</w:t>
            </w:r>
          </w:p>
          <w:p>
            <w:pPr>
              <w:pStyle w:val="6"/>
              <w:spacing w:line="400" w:lineRule="exact"/>
              <w:rPr>
                <w:rFonts w:eastAsia="仿宋_GB2312" w:cs="Times New Roman"/>
                <w:kern w:val="0"/>
                <w:sz w:val="24"/>
                <w:szCs w:val="24"/>
              </w:rPr>
            </w:pPr>
            <w:r>
              <w:rPr>
                <w:rFonts w:eastAsia="仿宋_GB2312" w:cs="Times New Roman"/>
                <w:kern w:val="0"/>
                <w:sz w:val="24"/>
                <w:szCs w:val="24"/>
              </w:rPr>
              <w:t>2. 开展培训评估与总结。</w:t>
            </w:r>
          </w:p>
        </w:tc>
      </w:tr>
    </w:tbl>
    <w:p>
      <w:pPr>
        <w:spacing w:line="600" w:lineRule="exact"/>
        <w:ind w:firstLine="600" w:firstLineChars="200"/>
        <w:jc w:val="left"/>
        <w:rPr>
          <w:rFonts w:eastAsia="黑体"/>
          <w:kern w:val="0"/>
          <w:sz w:val="30"/>
          <w:szCs w:val="30"/>
        </w:rPr>
      </w:pPr>
      <w:r>
        <w:rPr>
          <w:rFonts w:hint="eastAsia" w:eastAsia="黑体"/>
          <w:kern w:val="0"/>
          <w:sz w:val="30"/>
          <w:szCs w:val="30"/>
        </w:rPr>
        <w:t>二、培训平台使用</w:t>
      </w:r>
    </w:p>
    <w:p>
      <w:pPr>
        <w:pStyle w:val="6"/>
        <w:tabs>
          <w:tab w:val="left" w:pos="3119"/>
        </w:tabs>
        <w:spacing w:line="600" w:lineRule="exact"/>
        <w:ind w:firstLine="601"/>
        <w:rPr>
          <w:rFonts w:eastAsia="仿宋_GB2312" w:cs="Times New Roman"/>
          <w:color w:val="auto"/>
          <w:kern w:val="0"/>
          <w:sz w:val="30"/>
          <w:szCs w:val="30"/>
        </w:rPr>
      </w:pPr>
      <w:r>
        <w:rPr>
          <w:rFonts w:hint="eastAsia" w:eastAsia="仿宋_GB2312" w:cs="Times New Roman"/>
          <w:color w:val="auto"/>
          <w:kern w:val="0"/>
          <w:sz w:val="30"/>
          <w:szCs w:val="30"/>
        </w:rPr>
        <w:t>培训依托教育部普通高校心理健康教育专家指导委员会和国家教育行政学院组织实施。</w:t>
      </w:r>
      <w:r>
        <w:rPr>
          <w:rFonts w:hint="eastAsia" w:eastAsia="仿宋_GB2312" w:cs="Times New Roman"/>
          <w:color w:val="auto"/>
          <w:sz w:val="30"/>
          <w:szCs w:val="30"/>
        </w:rPr>
        <w:t>参训学员首先在高校辅导员网络学院学习平台（www</w:t>
      </w:r>
      <w:r>
        <w:rPr>
          <w:rFonts w:eastAsia="仿宋_GB2312" w:cs="Times New Roman"/>
          <w:color w:val="auto"/>
          <w:sz w:val="30"/>
          <w:szCs w:val="30"/>
        </w:rPr>
        <w:t>.ausc.edu.cn</w:t>
      </w:r>
      <w:r>
        <w:rPr>
          <w:rFonts w:hint="eastAsia" w:eastAsia="仿宋_GB2312" w:cs="Times New Roman"/>
          <w:color w:val="auto"/>
          <w:sz w:val="30"/>
          <w:szCs w:val="30"/>
        </w:rPr>
        <w:t>）在线报名，报名审核通过后直接登录参加学习。</w:t>
      </w:r>
      <w:r>
        <w:rPr>
          <w:rFonts w:hint="eastAsia" w:eastAsia="仿宋_GB2312" w:cs="Times New Roman"/>
          <w:color w:val="auto"/>
          <w:kern w:val="0"/>
          <w:sz w:val="30"/>
          <w:szCs w:val="30"/>
        </w:rPr>
        <w:t>培训期间参训学员可下载高校辅导员网络学院移动客户端（学习公社APP）随时登录学习。</w:t>
      </w:r>
    </w:p>
    <w:p>
      <w:pPr>
        <w:spacing w:line="360" w:lineRule="auto"/>
        <w:jc w:val="center"/>
        <w:rPr>
          <w:sz w:val="28"/>
          <w:szCs w:val="28"/>
        </w:rPr>
      </w:pPr>
      <w:r>
        <w:rPr>
          <w:sz w:val="30"/>
          <w:szCs w:val="30"/>
        </w:rPr>
        <w:drawing>
          <wp:anchor distT="0" distB="0" distL="114300" distR="114300" simplePos="0" relativeHeight="251660288" behindDoc="0" locked="0" layoutInCell="1" allowOverlap="1">
            <wp:simplePos x="0" y="0"/>
            <wp:positionH relativeFrom="column">
              <wp:posOffset>2116455</wp:posOffset>
            </wp:positionH>
            <wp:positionV relativeFrom="paragraph">
              <wp:posOffset>86360</wp:posOffset>
            </wp:positionV>
            <wp:extent cx="1038225" cy="1038225"/>
            <wp:effectExtent l="0" t="0" r="9525"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1038225" cy="1038225"/>
                    </a:xfrm>
                    <a:prstGeom prst="rect">
                      <a:avLst/>
                    </a:prstGeom>
                    <a:noFill/>
                    <a:ln>
                      <a:noFill/>
                    </a:ln>
                  </pic:spPr>
                </pic:pic>
              </a:graphicData>
            </a:graphic>
          </wp:anchor>
        </w:drawing>
      </w:r>
    </w:p>
    <w:p>
      <w:pPr>
        <w:spacing w:line="360" w:lineRule="auto"/>
        <w:jc w:val="center"/>
        <w:rPr>
          <w:rFonts w:eastAsia="黑体"/>
          <w:kern w:val="0"/>
          <w:sz w:val="30"/>
          <w:szCs w:val="30"/>
        </w:rPr>
      </w:pPr>
    </w:p>
    <w:p>
      <w:pPr>
        <w:spacing w:line="360" w:lineRule="auto"/>
        <w:ind w:firstLine="600" w:firstLineChars="200"/>
        <w:jc w:val="left"/>
        <w:rPr>
          <w:rFonts w:eastAsia="黑体"/>
          <w:kern w:val="0"/>
          <w:sz w:val="30"/>
          <w:szCs w:val="30"/>
        </w:rPr>
      </w:pPr>
      <w:r>
        <w:rPr>
          <w:rFonts w:eastAsia="黑体"/>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2143125</wp:posOffset>
                </wp:positionH>
                <wp:positionV relativeFrom="paragraph">
                  <wp:posOffset>320040</wp:posOffset>
                </wp:positionV>
                <wp:extent cx="1038225" cy="33337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1038225" cy="333375"/>
                        </a:xfrm>
                        <a:prstGeom prst="rect">
                          <a:avLst/>
                        </a:prstGeom>
                        <a:solidFill>
                          <a:srgbClr val="FFFFFF"/>
                        </a:solidFill>
                        <a:ln>
                          <a:noFill/>
                        </a:ln>
                        <a:effectLst/>
                      </wps:spPr>
                      <wps:txbx>
                        <w:txbxContent>
                          <w:p>
                            <w:pPr>
                              <w:rPr>
                                <w:rFonts w:eastAsia="仿宋"/>
                                <w:b/>
                                <w:bCs/>
                              </w:rPr>
                            </w:pPr>
                            <w:r>
                              <w:rPr>
                                <w:rFonts w:eastAsia="仿宋"/>
                                <w:b/>
                                <w:bCs/>
                              </w:rPr>
                              <w:t>学习公社APP</w:t>
                            </w:r>
                          </w:p>
                        </w:txbxContent>
                      </wps:txbx>
                      <wps:bodyPr upright="1"/>
                    </wps:wsp>
                  </a:graphicData>
                </a:graphic>
              </wp:anchor>
            </w:drawing>
          </mc:Choice>
          <mc:Fallback>
            <w:pict>
              <v:shape id="_x0000_s1026" o:spid="_x0000_s1026" o:spt="202" type="#_x0000_t202" style="position:absolute;left:0pt;margin-left:168.75pt;margin-top:25.2pt;height:26.25pt;width:81.75pt;z-index:251659264;mso-width-relative:page;mso-height-relative:page;" fillcolor="#FFFFFF" filled="t" stroked="f" coordsize="21600,21600" o:gfxdata="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Gu+XNgAAAAKAQAA&#10;DwAAAAAAAAABACAAAAAiAAAAZHJzL2Rvd25yZXYueG1sUEsBAhQAFAAAAAgAh07iQEsEvPWnAQAA&#10;NwMAAA4AAAAAAAAAAQAgAAAAJwEAAGRycy9lMm9Eb2MueG1sUEsFBgAAAAAGAAYAWQEAAEAFAAAA&#10;AA==&#10;">
                <v:fill on="t" focussize="0,0"/>
                <v:stroke on="f"/>
                <v:imagedata o:title=""/>
                <o:lock v:ext="edit" aspectratio="f"/>
                <v:textbox>
                  <w:txbxContent>
                    <w:p>
                      <w:pPr>
                        <w:rPr>
                          <w:rFonts w:eastAsia="仿宋"/>
                          <w:b/>
                          <w:bCs/>
                        </w:rPr>
                      </w:pPr>
                      <w:r>
                        <w:rPr>
                          <w:rFonts w:eastAsia="仿宋"/>
                          <w:b/>
                          <w:bCs/>
                        </w:rPr>
                        <w:t>学习公社APP</w:t>
                      </w:r>
                    </w:p>
                  </w:txbxContent>
                </v:textbox>
              </v:shape>
            </w:pict>
          </mc:Fallback>
        </mc:AlternateContent>
      </w:r>
    </w:p>
    <w:p>
      <w:pPr>
        <w:spacing w:line="580" w:lineRule="exact"/>
        <w:ind w:firstLine="600" w:firstLineChars="200"/>
        <w:jc w:val="left"/>
        <w:rPr>
          <w:rFonts w:eastAsia="黑体"/>
          <w:kern w:val="0"/>
          <w:sz w:val="30"/>
          <w:szCs w:val="30"/>
        </w:rPr>
      </w:pPr>
    </w:p>
    <w:p>
      <w:pPr>
        <w:spacing w:line="600" w:lineRule="exact"/>
        <w:ind w:firstLine="600" w:firstLineChars="200"/>
        <w:jc w:val="left"/>
        <w:rPr>
          <w:rFonts w:eastAsia="黑体"/>
          <w:kern w:val="0"/>
          <w:sz w:val="30"/>
          <w:szCs w:val="30"/>
        </w:rPr>
      </w:pPr>
      <w:r>
        <w:rPr>
          <w:rFonts w:hint="eastAsia" w:eastAsia="黑体"/>
          <w:kern w:val="0"/>
          <w:sz w:val="30"/>
          <w:szCs w:val="30"/>
        </w:rPr>
        <w:t>三、培训内容</w:t>
      </w:r>
    </w:p>
    <w:p>
      <w:pPr>
        <w:spacing w:line="600" w:lineRule="exact"/>
        <w:ind w:firstLine="600" w:firstLineChars="200"/>
      </w:pPr>
      <w:r>
        <w:rPr>
          <w:rFonts w:hint="eastAsia" w:eastAsia="仿宋_GB2312"/>
          <w:sz w:val="30"/>
          <w:szCs w:val="30"/>
        </w:rPr>
        <w:t>培训根据目标要求与培训主题，充分整合北京师范大学、天津大学、清华大学、北京大学第六医院等高校心理健康教育及医疗系统工作队伍资源，开展心理危机预防干预培训，培训课程包括录播课程、直播课程以及经验交流，课程详见表</w:t>
      </w:r>
      <w:r>
        <w:rPr>
          <w:rFonts w:eastAsia="仿宋_GB2312"/>
          <w:sz w:val="30"/>
          <w:szCs w:val="30"/>
        </w:rPr>
        <w:t>1、2、3。</w:t>
      </w:r>
    </w:p>
    <w:p>
      <w:pPr>
        <w:spacing w:line="360" w:lineRule="auto"/>
        <w:ind w:firstLine="482" w:firstLineChars="200"/>
        <w:jc w:val="center"/>
        <w:rPr>
          <w:rFonts w:eastAsia="仿宋"/>
          <w:b/>
          <w:bCs/>
          <w:color w:val="000000"/>
          <w:sz w:val="24"/>
        </w:rPr>
      </w:pPr>
    </w:p>
    <w:p>
      <w:pPr>
        <w:spacing w:line="360" w:lineRule="auto"/>
        <w:ind w:firstLine="482" w:firstLineChars="200"/>
        <w:jc w:val="center"/>
        <w:rPr>
          <w:rFonts w:eastAsia="仿宋"/>
          <w:b/>
          <w:bCs/>
          <w:color w:val="000000"/>
          <w:sz w:val="24"/>
        </w:rPr>
      </w:pPr>
      <w:r>
        <w:rPr>
          <w:rFonts w:hint="eastAsia" w:eastAsia="仿宋"/>
          <w:b/>
          <w:bCs/>
          <w:color w:val="000000"/>
          <w:sz w:val="24"/>
        </w:rPr>
        <w:t>表</w:t>
      </w:r>
      <w:r>
        <w:rPr>
          <w:rFonts w:eastAsia="仿宋"/>
          <w:b/>
          <w:bCs/>
          <w:color w:val="000000"/>
          <w:sz w:val="24"/>
        </w:rPr>
        <w:t xml:space="preserve">1 </w:t>
      </w:r>
      <w:r>
        <w:rPr>
          <w:rFonts w:hint="eastAsia" w:eastAsia="仿宋"/>
          <w:b/>
          <w:bCs/>
          <w:color w:val="000000"/>
          <w:sz w:val="24"/>
        </w:rPr>
        <w:t>直播课程列表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701"/>
        <w:gridCol w:w="992"/>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60" w:type="dxa"/>
            <w:vAlign w:val="center"/>
          </w:tcPr>
          <w:p>
            <w:pPr>
              <w:widowControl/>
              <w:jc w:val="center"/>
              <w:rPr>
                <w:rFonts w:eastAsia="仿宋"/>
                <w:b/>
                <w:bCs/>
                <w:color w:val="000000"/>
                <w:kern w:val="0"/>
                <w:sz w:val="24"/>
              </w:rPr>
            </w:pPr>
            <w:r>
              <w:rPr>
                <w:rFonts w:hint="eastAsia" w:eastAsia="仿宋"/>
                <w:b/>
                <w:bCs/>
                <w:color w:val="000000"/>
                <w:kern w:val="0"/>
                <w:sz w:val="24"/>
              </w:rPr>
              <w:t>时间</w:t>
            </w:r>
          </w:p>
        </w:tc>
        <w:tc>
          <w:tcPr>
            <w:tcW w:w="2701" w:type="dxa"/>
            <w:vAlign w:val="center"/>
          </w:tcPr>
          <w:p>
            <w:pPr>
              <w:widowControl/>
              <w:jc w:val="center"/>
              <w:rPr>
                <w:rFonts w:eastAsia="仿宋"/>
                <w:b/>
                <w:bCs/>
                <w:color w:val="000000"/>
                <w:kern w:val="0"/>
                <w:sz w:val="24"/>
              </w:rPr>
            </w:pPr>
            <w:r>
              <w:rPr>
                <w:rFonts w:hint="eastAsia" w:eastAsia="仿宋"/>
                <w:b/>
                <w:bCs/>
                <w:color w:val="000000"/>
                <w:kern w:val="0"/>
                <w:sz w:val="24"/>
              </w:rPr>
              <w:t>主题</w:t>
            </w:r>
          </w:p>
        </w:tc>
        <w:tc>
          <w:tcPr>
            <w:tcW w:w="992" w:type="dxa"/>
            <w:vAlign w:val="center"/>
          </w:tcPr>
          <w:p>
            <w:pPr>
              <w:widowControl/>
              <w:jc w:val="center"/>
              <w:rPr>
                <w:rFonts w:eastAsia="仿宋"/>
                <w:b/>
                <w:bCs/>
                <w:color w:val="000000"/>
                <w:kern w:val="0"/>
                <w:sz w:val="24"/>
              </w:rPr>
            </w:pPr>
            <w:r>
              <w:rPr>
                <w:rFonts w:hint="eastAsia" w:eastAsia="仿宋"/>
                <w:b/>
                <w:bCs/>
                <w:color w:val="000000"/>
                <w:kern w:val="0"/>
                <w:sz w:val="24"/>
              </w:rPr>
              <w:t>拟邀请主讲人</w:t>
            </w:r>
          </w:p>
        </w:tc>
        <w:tc>
          <w:tcPr>
            <w:tcW w:w="3169" w:type="dxa"/>
            <w:vAlign w:val="center"/>
          </w:tcPr>
          <w:p>
            <w:pPr>
              <w:widowControl/>
              <w:jc w:val="center"/>
              <w:rPr>
                <w:rFonts w:eastAsia="仿宋"/>
                <w:b/>
                <w:bCs/>
                <w:color w:val="000000"/>
                <w:kern w:val="0"/>
                <w:sz w:val="24"/>
              </w:rPr>
            </w:pPr>
            <w:r>
              <w:rPr>
                <w:rFonts w:hint="eastAsia" w:eastAsia="仿宋"/>
                <w:b/>
                <w:bCs/>
                <w:color w:val="000000"/>
                <w:kern w:val="0"/>
                <w:sz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60" w:type="dxa"/>
            <w:vAlign w:val="center"/>
          </w:tcPr>
          <w:p>
            <w:pPr>
              <w:jc w:val="center"/>
              <w:rPr>
                <w:rFonts w:eastAsia="仿宋_GB2312"/>
                <w:color w:val="000000"/>
                <w:kern w:val="0"/>
                <w:sz w:val="24"/>
              </w:rPr>
            </w:pPr>
            <w:r>
              <w:rPr>
                <w:rFonts w:eastAsia="仿宋_GB2312"/>
                <w:color w:val="000000"/>
                <w:kern w:val="0"/>
                <w:sz w:val="24"/>
              </w:rPr>
              <w:t>8:30—9:00</w:t>
            </w:r>
          </w:p>
        </w:tc>
        <w:tc>
          <w:tcPr>
            <w:tcW w:w="2701" w:type="dxa"/>
            <w:vAlign w:val="center"/>
          </w:tcPr>
          <w:p>
            <w:pPr>
              <w:jc w:val="left"/>
              <w:rPr>
                <w:rFonts w:eastAsia="仿宋_GB2312"/>
                <w:color w:val="000000"/>
                <w:kern w:val="0"/>
                <w:sz w:val="24"/>
                <w:u w:color="000000"/>
              </w:rPr>
            </w:pPr>
            <w:r>
              <w:rPr>
                <w:rFonts w:hint="eastAsia" w:eastAsia="仿宋_GB2312"/>
                <w:color w:val="000000"/>
                <w:kern w:val="0"/>
                <w:sz w:val="24"/>
                <w:u w:color="000000"/>
              </w:rPr>
              <w:t>做好大学生安全的护航者</w:t>
            </w:r>
          </w:p>
        </w:tc>
        <w:tc>
          <w:tcPr>
            <w:tcW w:w="992" w:type="dxa"/>
            <w:vAlign w:val="center"/>
          </w:tcPr>
          <w:p>
            <w:pPr>
              <w:jc w:val="center"/>
              <w:rPr>
                <w:rFonts w:eastAsia="仿宋_GB2312"/>
                <w:color w:val="000000"/>
                <w:sz w:val="24"/>
              </w:rPr>
            </w:pPr>
            <w:r>
              <w:rPr>
                <w:rFonts w:hint="eastAsia" w:eastAsia="仿宋_GB2312"/>
                <w:color w:val="000000"/>
                <w:sz w:val="24"/>
              </w:rPr>
              <w:t>林崇德</w:t>
            </w:r>
          </w:p>
        </w:tc>
        <w:tc>
          <w:tcPr>
            <w:tcW w:w="3169" w:type="dxa"/>
            <w:vAlign w:val="center"/>
          </w:tcPr>
          <w:p>
            <w:pPr>
              <w:rPr>
                <w:rFonts w:eastAsia="仿宋_GB2312"/>
                <w:color w:val="000000"/>
                <w:sz w:val="24"/>
              </w:rPr>
            </w:pPr>
            <w:r>
              <w:rPr>
                <w:rFonts w:hint="eastAsia" w:eastAsia="仿宋_GB2312"/>
                <w:color w:val="000000"/>
                <w:kern w:val="0"/>
                <w:sz w:val="24"/>
                <w:u w:color="000000"/>
              </w:rPr>
              <w:t>教育部普通高校心理健康教育专家指导委员会主任、教育部北京师范大学教授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60" w:type="dxa"/>
            <w:vAlign w:val="center"/>
          </w:tcPr>
          <w:p>
            <w:pPr>
              <w:jc w:val="center"/>
              <w:rPr>
                <w:rFonts w:eastAsia="仿宋_GB2312"/>
                <w:color w:val="000000"/>
                <w:kern w:val="0"/>
                <w:sz w:val="24"/>
              </w:rPr>
            </w:pPr>
            <w:r>
              <w:rPr>
                <w:rFonts w:eastAsia="仿宋_GB2312"/>
                <w:color w:val="000000"/>
                <w:kern w:val="0"/>
                <w:sz w:val="24"/>
              </w:rPr>
              <w:t>9:00—9:45</w:t>
            </w:r>
          </w:p>
        </w:tc>
        <w:tc>
          <w:tcPr>
            <w:tcW w:w="2701" w:type="dxa"/>
            <w:vAlign w:val="center"/>
          </w:tcPr>
          <w:p>
            <w:pPr>
              <w:jc w:val="left"/>
              <w:rPr>
                <w:rFonts w:eastAsia="仿宋_GB2312"/>
                <w:color w:val="000000"/>
                <w:kern w:val="0"/>
                <w:sz w:val="24"/>
                <w:u w:color="000000"/>
              </w:rPr>
            </w:pPr>
            <w:r>
              <w:rPr>
                <w:rFonts w:hint="eastAsia" w:eastAsia="仿宋_GB2312"/>
                <w:color w:val="000000"/>
                <w:kern w:val="0"/>
                <w:sz w:val="24"/>
                <w:u w:color="000000"/>
              </w:rPr>
              <w:t>高校心理危机的预防</w:t>
            </w:r>
          </w:p>
        </w:tc>
        <w:tc>
          <w:tcPr>
            <w:tcW w:w="992" w:type="dxa"/>
            <w:vAlign w:val="center"/>
          </w:tcPr>
          <w:p>
            <w:pPr>
              <w:jc w:val="center"/>
              <w:rPr>
                <w:rFonts w:eastAsia="仿宋_GB2312"/>
                <w:color w:val="000000"/>
                <w:sz w:val="24"/>
              </w:rPr>
            </w:pPr>
            <w:r>
              <w:rPr>
                <w:rFonts w:hint="eastAsia" w:eastAsia="仿宋_GB2312"/>
                <w:sz w:val="24"/>
              </w:rPr>
              <w:t>梁宝勇</w:t>
            </w:r>
          </w:p>
        </w:tc>
        <w:tc>
          <w:tcPr>
            <w:tcW w:w="3169" w:type="dxa"/>
            <w:vAlign w:val="center"/>
          </w:tcPr>
          <w:p>
            <w:pPr>
              <w:rPr>
                <w:rFonts w:eastAsia="仿宋_GB2312"/>
                <w:color w:val="000000"/>
                <w:sz w:val="24"/>
              </w:rPr>
            </w:pPr>
            <w:r>
              <w:rPr>
                <w:rFonts w:hint="eastAsia" w:eastAsia="仿宋_GB2312"/>
                <w:color w:val="000000"/>
                <w:sz w:val="24"/>
              </w:rPr>
              <w:t>天津师范大学教授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60" w:type="dxa"/>
            <w:vAlign w:val="center"/>
          </w:tcPr>
          <w:p>
            <w:pPr>
              <w:jc w:val="center"/>
              <w:rPr>
                <w:rFonts w:eastAsia="仿宋_GB2312"/>
                <w:color w:val="000000"/>
                <w:kern w:val="0"/>
                <w:sz w:val="24"/>
              </w:rPr>
            </w:pPr>
            <w:r>
              <w:rPr>
                <w:rFonts w:eastAsia="仿宋_GB2312"/>
                <w:color w:val="000000"/>
                <w:kern w:val="0"/>
                <w:sz w:val="24"/>
              </w:rPr>
              <w:t>9:45—10:25</w:t>
            </w:r>
          </w:p>
        </w:tc>
        <w:tc>
          <w:tcPr>
            <w:tcW w:w="2701" w:type="dxa"/>
            <w:vAlign w:val="center"/>
          </w:tcPr>
          <w:p>
            <w:pPr>
              <w:jc w:val="left"/>
              <w:rPr>
                <w:rFonts w:eastAsia="仿宋_GB2312"/>
                <w:color w:val="000000"/>
                <w:kern w:val="0"/>
                <w:sz w:val="24"/>
                <w:u w:color="000000"/>
              </w:rPr>
            </w:pPr>
            <w:r>
              <w:rPr>
                <w:rFonts w:hint="eastAsia" w:eastAsia="仿宋_GB2312"/>
                <w:color w:val="000000"/>
                <w:kern w:val="0"/>
                <w:sz w:val="24"/>
                <w:u w:color="000000"/>
              </w:rPr>
              <w:t>高校学生抑郁障碍的识别和应对</w:t>
            </w:r>
          </w:p>
        </w:tc>
        <w:tc>
          <w:tcPr>
            <w:tcW w:w="992" w:type="dxa"/>
            <w:vAlign w:val="center"/>
          </w:tcPr>
          <w:p>
            <w:pPr>
              <w:jc w:val="center"/>
              <w:rPr>
                <w:rFonts w:eastAsia="仿宋_GB2312"/>
                <w:color w:val="000000"/>
                <w:sz w:val="24"/>
              </w:rPr>
            </w:pPr>
            <w:r>
              <w:rPr>
                <w:rFonts w:hint="eastAsia" w:eastAsia="仿宋_GB2312"/>
                <w:color w:val="000000"/>
                <w:sz w:val="24"/>
              </w:rPr>
              <w:t>唐登华</w:t>
            </w:r>
          </w:p>
        </w:tc>
        <w:tc>
          <w:tcPr>
            <w:tcW w:w="3169" w:type="dxa"/>
            <w:vAlign w:val="center"/>
          </w:tcPr>
          <w:p>
            <w:pPr>
              <w:rPr>
                <w:rFonts w:eastAsia="仿宋_GB2312"/>
                <w:color w:val="000000"/>
                <w:sz w:val="24"/>
              </w:rPr>
            </w:pPr>
            <w:r>
              <w:rPr>
                <w:rFonts w:hint="eastAsia" w:eastAsia="仿宋_GB2312"/>
                <w:color w:val="000000"/>
                <w:sz w:val="24"/>
              </w:rPr>
              <w:t>北京大学第六医院教授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60" w:type="dxa"/>
            <w:vAlign w:val="center"/>
          </w:tcPr>
          <w:p>
            <w:pPr>
              <w:jc w:val="center"/>
              <w:rPr>
                <w:rFonts w:eastAsia="仿宋_GB2312"/>
                <w:color w:val="000000"/>
                <w:kern w:val="0"/>
                <w:sz w:val="24"/>
              </w:rPr>
            </w:pPr>
            <w:r>
              <w:rPr>
                <w:rFonts w:eastAsia="仿宋_GB2312"/>
                <w:color w:val="000000"/>
                <w:kern w:val="0"/>
                <w:sz w:val="24"/>
              </w:rPr>
              <w:t>10:25—11:05</w:t>
            </w:r>
          </w:p>
        </w:tc>
        <w:tc>
          <w:tcPr>
            <w:tcW w:w="2701" w:type="dxa"/>
            <w:vAlign w:val="center"/>
          </w:tcPr>
          <w:p>
            <w:pPr>
              <w:jc w:val="left"/>
              <w:rPr>
                <w:rFonts w:eastAsia="仿宋_GB2312"/>
                <w:color w:val="000000"/>
                <w:kern w:val="0"/>
                <w:sz w:val="24"/>
                <w:u w:color="000000"/>
              </w:rPr>
            </w:pPr>
            <w:r>
              <w:rPr>
                <w:rFonts w:hint="eastAsia" w:eastAsia="仿宋_GB2312"/>
                <w:color w:val="000000"/>
                <w:kern w:val="0"/>
                <w:sz w:val="24"/>
                <w:u w:color="000000"/>
              </w:rPr>
              <w:t>当前大学生的主要心理压力及其应对策略</w:t>
            </w:r>
          </w:p>
        </w:tc>
        <w:tc>
          <w:tcPr>
            <w:tcW w:w="992" w:type="dxa"/>
            <w:vAlign w:val="center"/>
          </w:tcPr>
          <w:p>
            <w:pPr>
              <w:jc w:val="center"/>
              <w:rPr>
                <w:rFonts w:eastAsia="仿宋_GB2312"/>
                <w:color w:val="000000"/>
                <w:sz w:val="24"/>
              </w:rPr>
            </w:pPr>
            <w:r>
              <w:rPr>
                <w:rFonts w:hint="eastAsia" w:eastAsia="仿宋_GB2312"/>
                <w:color w:val="000000"/>
                <w:kern w:val="0"/>
                <w:sz w:val="24"/>
              </w:rPr>
              <w:t>谢  斌</w:t>
            </w:r>
          </w:p>
        </w:tc>
        <w:tc>
          <w:tcPr>
            <w:tcW w:w="3169" w:type="dxa"/>
            <w:vAlign w:val="center"/>
          </w:tcPr>
          <w:p>
            <w:pPr>
              <w:rPr>
                <w:rFonts w:eastAsia="仿宋_GB2312"/>
                <w:color w:val="000000"/>
                <w:sz w:val="24"/>
              </w:rPr>
            </w:pPr>
            <w:r>
              <w:rPr>
                <w:rFonts w:hint="eastAsia" w:eastAsia="仿宋_GB2312"/>
                <w:color w:val="000000"/>
                <w:sz w:val="24"/>
              </w:rPr>
              <w:t>上海交通大学医学院附属精神卫生中心教授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60" w:type="dxa"/>
            <w:vAlign w:val="center"/>
          </w:tcPr>
          <w:p>
            <w:pPr>
              <w:jc w:val="center"/>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1</w:t>
            </w:r>
            <w:r>
              <w:rPr>
                <w:rFonts w:eastAsia="仿宋_GB2312"/>
                <w:color w:val="000000"/>
                <w:kern w:val="0"/>
                <w:sz w:val="24"/>
              </w:rPr>
              <w:t>:</w:t>
            </w:r>
            <w:r>
              <w:rPr>
                <w:rFonts w:hint="eastAsia" w:eastAsia="仿宋_GB2312"/>
                <w:color w:val="000000"/>
                <w:kern w:val="0"/>
                <w:sz w:val="24"/>
              </w:rPr>
              <w:t>0</w:t>
            </w:r>
            <w:r>
              <w:rPr>
                <w:rFonts w:eastAsia="仿宋_GB2312"/>
                <w:color w:val="000000"/>
                <w:kern w:val="0"/>
                <w:sz w:val="24"/>
              </w:rPr>
              <w:t>5—11:</w:t>
            </w:r>
            <w:r>
              <w:rPr>
                <w:rFonts w:hint="eastAsia" w:eastAsia="仿宋_GB2312"/>
                <w:color w:val="000000"/>
                <w:kern w:val="0"/>
                <w:sz w:val="24"/>
              </w:rPr>
              <w:t>50</w:t>
            </w:r>
          </w:p>
        </w:tc>
        <w:tc>
          <w:tcPr>
            <w:tcW w:w="2701" w:type="dxa"/>
            <w:vAlign w:val="center"/>
          </w:tcPr>
          <w:p>
            <w:pPr>
              <w:jc w:val="left"/>
              <w:rPr>
                <w:rFonts w:eastAsia="仿宋_GB2312"/>
                <w:color w:val="000000"/>
                <w:kern w:val="0"/>
                <w:sz w:val="24"/>
                <w:u w:color="000000"/>
              </w:rPr>
            </w:pPr>
            <w:r>
              <w:rPr>
                <w:rFonts w:hint="eastAsia" w:eastAsia="仿宋_GB2312"/>
                <w:color w:val="000000"/>
                <w:kern w:val="0"/>
                <w:sz w:val="24"/>
                <w:u w:color="000000"/>
              </w:rPr>
              <w:t>自杀心理与行为的干预策略</w:t>
            </w:r>
          </w:p>
        </w:tc>
        <w:tc>
          <w:tcPr>
            <w:tcW w:w="992" w:type="dxa"/>
            <w:vAlign w:val="center"/>
          </w:tcPr>
          <w:p>
            <w:pPr>
              <w:jc w:val="center"/>
              <w:rPr>
                <w:rFonts w:eastAsia="仿宋_GB2312"/>
                <w:color w:val="000000"/>
                <w:sz w:val="24"/>
              </w:rPr>
            </w:pPr>
            <w:r>
              <w:rPr>
                <w:rFonts w:hint="eastAsia" w:eastAsia="仿宋_GB2312"/>
                <w:color w:val="000000"/>
                <w:sz w:val="24"/>
              </w:rPr>
              <w:t>杨  丽</w:t>
            </w:r>
          </w:p>
        </w:tc>
        <w:tc>
          <w:tcPr>
            <w:tcW w:w="3169" w:type="dxa"/>
            <w:vAlign w:val="center"/>
          </w:tcPr>
          <w:p>
            <w:pPr>
              <w:rPr>
                <w:rFonts w:eastAsia="仿宋_GB2312"/>
                <w:color w:val="000000"/>
                <w:sz w:val="24"/>
              </w:rPr>
            </w:pPr>
            <w:r>
              <w:rPr>
                <w:rFonts w:hint="eastAsia" w:eastAsia="仿宋_GB2312"/>
                <w:color w:val="000000"/>
                <w:sz w:val="24"/>
              </w:rPr>
              <w:t>天津大学教授</w:t>
            </w:r>
          </w:p>
        </w:tc>
      </w:tr>
    </w:tbl>
    <w:p>
      <w:pPr>
        <w:spacing w:line="360" w:lineRule="auto"/>
        <w:jc w:val="left"/>
        <w:outlineLvl w:val="0"/>
        <w:rPr>
          <w:rFonts w:eastAsia="仿宋_GB2312"/>
          <w:sz w:val="24"/>
        </w:rPr>
      </w:pPr>
      <w:r>
        <w:rPr>
          <w:rFonts w:hint="eastAsia" w:eastAsia="仿宋_GB2312"/>
          <w:sz w:val="24"/>
        </w:rPr>
        <w:t>说明：直播暂定11月</w:t>
      </w:r>
      <w:r>
        <w:rPr>
          <w:rFonts w:eastAsia="仿宋_GB2312"/>
          <w:sz w:val="24"/>
        </w:rPr>
        <w:t>29</w:t>
      </w:r>
      <w:r>
        <w:rPr>
          <w:rFonts w:hint="eastAsia" w:eastAsia="仿宋_GB2312"/>
          <w:sz w:val="24"/>
        </w:rPr>
        <w:t>日（周</w:t>
      </w:r>
      <w:r>
        <w:rPr>
          <w:rFonts w:eastAsia="仿宋_GB2312"/>
          <w:sz w:val="24"/>
        </w:rPr>
        <w:t>日</w:t>
      </w:r>
      <w:r>
        <w:rPr>
          <w:rFonts w:hint="eastAsia" w:eastAsia="仿宋_GB2312"/>
          <w:sz w:val="24"/>
        </w:rPr>
        <w:t>）早上</w:t>
      </w:r>
      <w:r>
        <w:rPr>
          <w:rFonts w:eastAsia="仿宋_GB2312"/>
          <w:sz w:val="24"/>
        </w:rPr>
        <w:t>8:30</w:t>
      </w:r>
      <w:r>
        <w:rPr>
          <w:rFonts w:hint="eastAsia" w:eastAsia="仿宋_GB2312"/>
          <w:sz w:val="24"/>
        </w:rPr>
        <w:t>开始，主题及主讲人或有调整，请以平台通知为准。</w:t>
      </w:r>
    </w:p>
    <w:p>
      <w:pPr>
        <w:pStyle w:val="2"/>
      </w:pPr>
    </w:p>
    <w:p>
      <w:pPr>
        <w:spacing w:line="360" w:lineRule="auto"/>
        <w:ind w:firstLine="482" w:firstLineChars="200"/>
        <w:jc w:val="center"/>
        <w:rPr>
          <w:rFonts w:eastAsia="仿宋_GB2312"/>
          <w:b/>
          <w:bCs/>
          <w:color w:val="000000"/>
          <w:sz w:val="24"/>
        </w:rPr>
      </w:pPr>
      <w:r>
        <w:rPr>
          <w:rFonts w:hint="eastAsia" w:eastAsia="仿宋_GB2312"/>
          <w:b/>
          <w:bCs/>
          <w:color w:val="000000"/>
          <w:sz w:val="24"/>
        </w:rPr>
        <w:t>表</w:t>
      </w:r>
      <w:r>
        <w:rPr>
          <w:rFonts w:eastAsia="仿宋_GB2312"/>
          <w:b/>
          <w:bCs/>
          <w:color w:val="000000"/>
          <w:sz w:val="24"/>
        </w:rPr>
        <w:t>2</w:t>
      </w:r>
      <w:r>
        <w:rPr>
          <w:rFonts w:hint="eastAsia" w:eastAsia="仿宋_GB2312"/>
          <w:b/>
          <w:bCs/>
          <w:color w:val="000000"/>
          <w:sz w:val="24"/>
        </w:rPr>
        <w:t xml:space="preserve"> 录播课程列表</w:t>
      </w:r>
    </w:p>
    <w:tbl>
      <w:tblPr>
        <w:tblStyle w:val="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077" w:type="dxa"/>
            <w:vAlign w:val="center"/>
          </w:tcPr>
          <w:p>
            <w:pPr>
              <w:jc w:val="center"/>
              <w:rPr>
                <w:rFonts w:eastAsia="仿宋_GB2312"/>
                <w:sz w:val="24"/>
              </w:rPr>
            </w:pPr>
            <w:r>
              <w:rPr>
                <w:rFonts w:hint="eastAsia" w:eastAsia="仿宋_GB2312"/>
                <w:b/>
                <w:bCs/>
                <w:color w:val="000000"/>
                <w:kern w:val="0"/>
                <w:sz w:val="24"/>
              </w:rPr>
              <w:t>课程名称</w:t>
            </w:r>
          </w:p>
        </w:tc>
        <w:tc>
          <w:tcPr>
            <w:tcW w:w="1276" w:type="dxa"/>
            <w:vAlign w:val="center"/>
          </w:tcPr>
          <w:p>
            <w:pPr>
              <w:jc w:val="center"/>
              <w:rPr>
                <w:rFonts w:eastAsia="仿宋_GB2312"/>
                <w:b/>
                <w:bCs/>
                <w:color w:val="000000"/>
                <w:kern w:val="0"/>
                <w:sz w:val="24"/>
              </w:rPr>
            </w:pPr>
            <w:r>
              <w:rPr>
                <w:rFonts w:hint="eastAsia" w:eastAsia="仿宋_GB2312"/>
                <w:b/>
                <w:bCs/>
                <w:color w:val="000000"/>
                <w:kern w:val="0"/>
                <w:sz w:val="24"/>
              </w:rPr>
              <w:t>拟邀请</w:t>
            </w:r>
          </w:p>
          <w:p>
            <w:pPr>
              <w:jc w:val="center"/>
              <w:rPr>
                <w:rFonts w:eastAsia="仿宋_GB2312"/>
                <w:sz w:val="24"/>
              </w:rPr>
            </w:pPr>
            <w:r>
              <w:rPr>
                <w:rFonts w:hint="eastAsia" w:eastAsia="仿宋_GB2312"/>
                <w:b/>
                <w:bCs/>
                <w:color w:val="000000"/>
                <w:kern w:val="0"/>
                <w:sz w:val="24"/>
              </w:rPr>
              <w:t>主讲人</w:t>
            </w:r>
          </w:p>
        </w:tc>
        <w:tc>
          <w:tcPr>
            <w:tcW w:w="3163" w:type="dxa"/>
            <w:vAlign w:val="center"/>
          </w:tcPr>
          <w:p>
            <w:pPr>
              <w:jc w:val="center"/>
              <w:rPr>
                <w:rFonts w:eastAsia="仿宋_GB2312"/>
                <w:sz w:val="24"/>
              </w:rPr>
            </w:pPr>
            <w:r>
              <w:rPr>
                <w:rFonts w:hint="eastAsia" w:eastAsia="仿宋_GB2312"/>
                <w:b/>
                <w:bCs/>
                <w:color w:val="000000"/>
                <w:kern w:val="0"/>
                <w:sz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077" w:type="dxa"/>
            <w:vAlign w:val="center"/>
          </w:tcPr>
          <w:p>
            <w:pPr>
              <w:jc w:val="left"/>
              <w:rPr>
                <w:rFonts w:eastAsia="仿宋_GB2312"/>
                <w:color w:val="000000"/>
                <w:kern w:val="0"/>
                <w:sz w:val="24"/>
                <w:u w:color="000000"/>
              </w:rPr>
            </w:pPr>
            <w:r>
              <w:rPr>
                <w:rFonts w:hint="eastAsia" w:eastAsia="仿宋_GB2312"/>
                <w:color w:val="000000"/>
                <w:kern w:val="0"/>
                <w:sz w:val="24"/>
                <w:u w:color="000000"/>
              </w:rPr>
              <w:t>高校危机干预工作体系的构建和完善</w:t>
            </w:r>
          </w:p>
        </w:tc>
        <w:tc>
          <w:tcPr>
            <w:tcW w:w="1276" w:type="dxa"/>
            <w:vAlign w:val="center"/>
          </w:tcPr>
          <w:p>
            <w:pPr>
              <w:jc w:val="center"/>
              <w:rPr>
                <w:rFonts w:eastAsia="仿宋_GB2312"/>
                <w:sz w:val="24"/>
              </w:rPr>
            </w:pPr>
            <w:r>
              <w:rPr>
                <w:rFonts w:hint="eastAsia" w:eastAsia="仿宋_GB2312"/>
                <w:sz w:val="24"/>
              </w:rPr>
              <w:t>李  焰</w:t>
            </w:r>
          </w:p>
        </w:tc>
        <w:tc>
          <w:tcPr>
            <w:tcW w:w="3163" w:type="dxa"/>
            <w:vAlign w:val="center"/>
          </w:tcPr>
          <w:p>
            <w:pPr>
              <w:jc w:val="left"/>
              <w:rPr>
                <w:rFonts w:eastAsia="仿宋_GB2312"/>
                <w:sz w:val="24"/>
              </w:rPr>
            </w:pPr>
            <w:r>
              <w:rPr>
                <w:rFonts w:hint="eastAsia" w:eastAsia="仿宋_GB2312"/>
                <w:sz w:val="24"/>
              </w:rPr>
              <w:t>清华大学教授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077" w:type="dxa"/>
            <w:vAlign w:val="center"/>
          </w:tcPr>
          <w:p>
            <w:pPr>
              <w:jc w:val="left"/>
              <w:rPr>
                <w:rFonts w:eastAsia="仿宋_GB2312"/>
                <w:color w:val="000000"/>
                <w:kern w:val="0"/>
                <w:sz w:val="24"/>
                <w:u w:color="000000"/>
              </w:rPr>
            </w:pPr>
            <w:r>
              <w:rPr>
                <w:rFonts w:hint="eastAsia" w:eastAsia="仿宋_GB2312"/>
                <w:color w:val="000000"/>
                <w:kern w:val="0"/>
                <w:sz w:val="24"/>
                <w:u w:color="000000"/>
              </w:rPr>
              <w:t>大学生常见家庭冲突与危机干预</w:t>
            </w:r>
          </w:p>
        </w:tc>
        <w:tc>
          <w:tcPr>
            <w:tcW w:w="1276" w:type="dxa"/>
            <w:vAlign w:val="center"/>
          </w:tcPr>
          <w:p>
            <w:pPr>
              <w:jc w:val="center"/>
              <w:rPr>
                <w:rFonts w:eastAsia="仿宋_GB2312"/>
                <w:sz w:val="24"/>
              </w:rPr>
            </w:pPr>
            <w:r>
              <w:rPr>
                <w:rFonts w:hint="eastAsia" w:eastAsia="仿宋_GB2312"/>
                <w:sz w:val="24"/>
              </w:rPr>
              <w:t>赵静波</w:t>
            </w:r>
          </w:p>
        </w:tc>
        <w:tc>
          <w:tcPr>
            <w:tcW w:w="3163" w:type="dxa"/>
            <w:vAlign w:val="center"/>
          </w:tcPr>
          <w:p>
            <w:pPr>
              <w:jc w:val="left"/>
              <w:rPr>
                <w:rFonts w:eastAsia="仿宋_GB2312"/>
                <w:sz w:val="24"/>
              </w:rPr>
            </w:pPr>
            <w:r>
              <w:rPr>
                <w:rFonts w:hint="eastAsia" w:eastAsia="仿宋_GB2312"/>
                <w:sz w:val="24"/>
              </w:rPr>
              <w:t>南方医科大学教授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077" w:type="dxa"/>
            <w:vAlign w:val="center"/>
          </w:tcPr>
          <w:p>
            <w:pPr>
              <w:jc w:val="left"/>
              <w:rPr>
                <w:rFonts w:eastAsia="仿宋_GB2312"/>
                <w:color w:val="000000"/>
                <w:kern w:val="0"/>
                <w:sz w:val="24"/>
                <w:u w:color="000000"/>
              </w:rPr>
            </w:pPr>
            <w:r>
              <w:rPr>
                <w:rFonts w:hint="eastAsia" w:eastAsia="仿宋_GB2312"/>
                <w:color w:val="000000"/>
                <w:kern w:val="0"/>
                <w:sz w:val="24"/>
                <w:u w:color="000000"/>
              </w:rPr>
              <w:t>危机干预中一次单元心理咨询</w:t>
            </w:r>
          </w:p>
        </w:tc>
        <w:tc>
          <w:tcPr>
            <w:tcW w:w="1276" w:type="dxa"/>
            <w:vAlign w:val="center"/>
          </w:tcPr>
          <w:p>
            <w:pPr>
              <w:jc w:val="center"/>
              <w:rPr>
                <w:rFonts w:eastAsia="仿宋_GB2312"/>
                <w:sz w:val="24"/>
              </w:rPr>
            </w:pPr>
            <w:r>
              <w:rPr>
                <w:rFonts w:hint="eastAsia" w:eastAsia="仿宋_GB2312"/>
                <w:sz w:val="24"/>
              </w:rPr>
              <w:t>陈秋燕</w:t>
            </w:r>
          </w:p>
        </w:tc>
        <w:tc>
          <w:tcPr>
            <w:tcW w:w="3163" w:type="dxa"/>
            <w:vAlign w:val="center"/>
          </w:tcPr>
          <w:p>
            <w:pPr>
              <w:jc w:val="left"/>
              <w:rPr>
                <w:rFonts w:eastAsia="仿宋_GB2312"/>
                <w:sz w:val="24"/>
              </w:rPr>
            </w:pPr>
            <w:r>
              <w:rPr>
                <w:rFonts w:hint="eastAsia" w:eastAsia="仿宋_GB2312"/>
                <w:sz w:val="24"/>
              </w:rPr>
              <w:t>西南民族大学教授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077" w:type="dxa"/>
            <w:vAlign w:val="center"/>
          </w:tcPr>
          <w:p>
            <w:pPr>
              <w:jc w:val="left"/>
              <w:rPr>
                <w:rFonts w:eastAsia="仿宋_GB2312"/>
                <w:color w:val="000000"/>
                <w:kern w:val="0"/>
                <w:sz w:val="24"/>
                <w:u w:color="000000"/>
              </w:rPr>
            </w:pPr>
            <w:r>
              <w:rPr>
                <w:rFonts w:hint="eastAsia" w:eastAsia="仿宋_GB2312"/>
                <w:color w:val="000000"/>
                <w:kern w:val="0"/>
                <w:sz w:val="24"/>
                <w:u w:color="000000"/>
              </w:rPr>
              <w:t>大学生自杀高危人群的识别技术</w:t>
            </w:r>
          </w:p>
        </w:tc>
        <w:tc>
          <w:tcPr>
            <w:tcW w:w="1276" w:type="dxa"/>
            <w:vAlign w:val="center"/>
          </w:tcPr>
          <w:p>
            <w:pPr>
              <w:jc w:val="center"/>
              <w:rPr>
                <w:rFonts w:eastAsia="仿宋_GB2312"/>
                <w:sz w:val="24"/>
              </w:rPr>
            </w:pPr>
            <w:r>
              <w:rPr>
                <w:rFonts w:hint="eastAsia" w:eastAsia="仿宋_GB2312"/>
                <w:sz w:val="24"/>
              </w:rPr>
              <w:t>唐海波</w:t>
            </w:r>
          </w:p>
        </w:tc>
        <w:tc>
          <w:tcPr>
            <w:tcW w:w="3163" w:type="dxa"/>
            <w:vAlign w:val="center"/>
          </w:tcPr>
          <w:p>
            <w:pPr>
              <w:jc w:val="left"/>
              <w:rPr>
                <w:rFonts w:eastAsia="仿宋_GB2312"/>
                <w:sz w:val="24"/>
              </w:rPr>
            </w:pPr>
            <w:r>
              <w:rPr>
                <w:rFonts w:hint="eastAsia" w:eastAsia="仿宋_GB2312"/>
                <w:sz w:val="24"/>
              </w:rPr>
              <w:t>中南大学教授</w:t>
            </w:r>
          </w:p>
        </w:tc>
      </w:tr>
    </w:tbl>
    <w:p>
      <w:pPr>
        <w:jc w:val="left"/>
        <w:rPr>
          <w:rFonts w:eastAsia="仿宋_GB2312"/>
          <w:color w:val="000000"/>
          <w:sz w:val="24"/>
        </w:rPr>
      </w:pPr>
      <w:r>
        <w:rPr>
          <w:rFonts w:hint="eastAsia" w:eastAsia="仿宋_GB2312"/>
          <w:color w:val="000000"/>
          <w:sz w:val="24"/>
        </w:rPr>
        <w:t xml:space="preserve">说明：1.个别课程或稍有调整，请以平台最终发布课程为准； </w:t>
      </w:r>
    </w:p>
    <w:p>
      <w:pPr>
        <w:numPr>
          <w:ilvl w:val="0"/>
          <w:numId w:val="1"/>
        </w:numPr>
        <w:ind w:firstLine="720" w:firstLineChars="300"/>
        <w:jc w:val="left"/>
      </w:pPr>
      <w:r>
        <w:rPr>
          <w:rFonts w:hint="eastAsia" w:eastAsia="仿宋_GB2312"/>
          <w:color w:val="000000"/>
          <w:sz w:val="24"/>
        </w:rPr>
        <w:t>课程主讲人职务为课程录制时的职务。</w:t>
      </w:r>
    </w:p>
    <w:p>
      <w:pPr>
        <w:spacing w:line="360" w:lineRule="auto"/>
        <w:ind w:firstLine="482" w:firstLineChars="200"/>
        <w:jc w:val="center"/>
        <w:rPr>
          <w:rFonts w:eastAsia="仿宋"/>
          <w:b/>
          <w:bCs/>
          <w:color w:val="000000"/>
          <w:sz w:val="24"/>
        </w:rPr>
      </w:pPr>
    </w:p>
    <w:p>
      <w:pPr>
        <w:spacing w:line="360" w:lineRule="auto"/>
        <w:ind w:firstLine="482" w:firstLineChars="200"/>
        <w:jc w:val="center"/>
        <w:rPr>
          <w:rFonts w:eastAsia="仿宋"/>
          <w:b/>
          <w:bCs/>
          <w:color w:val="000000"/>
          <w:sz w:val="24"/>
        </w:rPr>
      </w:pPr>
      <w:r>
        <w:rPr>
          <w:rFonts w:hint="eastAsia" w:eastAsia="仿宋"/>
          <w:b/>
          <w:bCs/>
          <w:color w:val="000000"/>
          <w:sz w:val="24"/>
        </w:rPr>
        <w:t>表</w:t>
      </w:r>
      <w:r>
        <w:rPr>
          <w:rFonts w:eastAsia="仿宋"/>
          <w:b/>
          <w:bCs/>
          <w:color w:val="000000"/>
          <w:sz w:val="24"/>
        </w:rPr>
        <w:t xml:space="preserve">3 </w:t>
      </w:r>
      <w:r>
        <w:rPr>
          <w:rFonts w:hint="eastAsia" w:eastAsia="仿宋"/>
          <w:b/>
          <w:bCs/>
          <w:color w:val="000000"/>
          <w:sz w:val="24"/>
        </w:rPr>
        <w:t>录播经验交流列表</w:t>
      </w:r>
    </w:p>
    <w:tbl>
      <w:tblPr>
        <w:tblStyle w:val="5"/>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077" w:type="dxa"/>
            <w:vAlign w:val="center"/>
          </w:tcPr>
          <w:p>
            <w:pPr>
              <w:widowControl/>
              <w:jc w:val="center"/>
              <w:rPr>
                <w:rFonts w:eastAsia="仿宋"/>
                <w:b/>
                <w:bCs/>
                <w:color w:val="000000"/>
                <w:kern w:val="0"/>
                <w:sz w:val="24"/>
              </w:rPr>
            </w:pPr>
            <w:r>
              <w:rPr>
                <w:rFonts w:hint="eastAsia" w:eastAsia="仿宋"/>
                <w:b/>
                <w:bCs/>
                <w:color w:val="000000"/>
                <w:kern w:val="0"/>
                <w:sz w:val="24"/>
              </w:rPr>
              <w:t>课程名称</w:t>
            </w:r>
          </w:p>
        </w:tc>
        <w:tc>
          <w:tcPr>
            <w:tcW w:w="1276" w:type="dxa"/>
            <w:vAlign w:val="center"/>
          </w:tcPr>
          <w:p>
            <w:pPr>
              <w:widowControl/>
              <w:jc w:val="center"/>
              <w:rPr>
                <w:rFonts w:eastAsia="仿宋"/>
                <w:b/>
                <w:bCs/>
                <w:color w:val="000000"/>
                <w:kern w:val="0"/>
                <w:sz w:val="24"/>
              </w:rPr>
            </w:pPr>
            <w:r>
              <w:rPr>
                <w:rFonts w:hint="eastAsia" w:eastAsia="仿宋"/>
                <w:b/>
                <w:bCs/>
                <w:color w:val="000000"/>
                <w:kern w:val="0"/>
                <w:sz w:val="24"/>
              </w:rPr>
              <w:t>拟邀请</w:t>
            </w:r>
          </w:p>
          <w:p>
            <w:pPr>
              <w:widowControl/>
              <w:jc w:val="center"/>
              <w:rPr>
                <w:rFonts w:eastAsia="仿宋"/>
                <w:b/>
                <w:bCs/>
                <w:color w:val="000000"/>
                <w:kern w:val="0"/>
                <w:sz w:val="24"/>
              </w:rPr>
            </w:pPr>
            <w:r>
              <w:rPr>
                <w:rFonts w:hint="eastAsia" w:eastAsia="仿宋"/>
                <w:b/>
                <w:bCs/>
                <w:color w:val="000000"/>
                <w:kern w:val="0"/>
                <w:sz w:val="24"/>
              </w:rPr>
              <w:t>主讲人</w:t>
            </w:r>
          </w:p>
        </w:tc>
        <w:tc>
          <w:tcPr>
            <w:tcW w:w="3195" w:type="dxa"/>
            <w:vAlign w:val="center"/>
          </w:tcPr>
          <w:p>
            <w:pPr>
              <w:widowControl/>
              <w:jc w:val="center"/>
              <w:rPr>
                <w:rFonts w:eastAsia="仿宋"/>
                <w:b/>
                <w:bCs/>
                <w:color w:val="000000"/>
                <w:kern w:val="0"/>
                <w:sz w:val="24"/>
              </w:rPr>
            </w:pPr>
            <w:r>
              <w:rPr>
                <w:rFonts w:hint="eastAsia" w:eastAsia="仿宋_GB2312"/>
                <w:b/>
                <w:bCs/>
                <w:color w:val="000000"/>
                <w:kern w:val="0"/>
                <w:sz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077" w:type="dxa"/>
            <w:vAlign w:val="center"/>
          </w:tcPr>
          <w:p>
            <w:pPr>
              <w:jc w:val="left"/>
              <w:rPr>
                <w:rFonts w:eastAsia="仿宋_GB2312"/>
                <w:color w:val="000000"/>
                <w:kern w:val="0"/>
                <w:sz w:val="24"/>
                <w:u w:color="000000"/>
              </w:rPr>
            </w:pPr>
            <w:r>
              <w:rPr>
                <w:rFonts w:hint="eastAsia" w:eastAsia="仿宋_GB2312"/>
                <w:color w:val="000000"/>
                <w:kern w:val="0"/>
                <w:sz w:val="24"/>
                <w:u w:color="000000"/>
              </w:rPr>
              <w:t>高校心理援助热线平台经验交流</w:t>
            </w:r>
          </w:p>
        </w:tc>
        <w:tc>
          <w:tcPr>
            <w:tcW w:w="1276" w:type="dxa"/>
            <w:vAlign w:val="center"/>
          </w:tcPr>
          <w:p>
            <w:pPr>
              <w:jc w:val="center"/>
              <w:rPr>
                <w:rFonts w:eastAsia="仿宋_GB2312"/>
                <w:color w:val="000000"/>
                <w:kern w:val="0"/>
                <w:sz w:val="24"/>
                <w:u w:color="000000"/>
              </w:rPr>
            </w:pPr>
            <w:r>
              <w:rPr>
                <w:rFonts w:hint="eastAsia" w:eastAsia="仿宋_GB2312"/>
                <w:color w:val="000000"/>
                <w:kern w:val="0"/>
                <w:sz w:val="24"/>
                <w:u w:color="000000"/>
              </w:rPr>
              <w:t>周</w:t>
            </w:r>
            <w:r>
              <w:rPr>
                <w:rFonts w:eastAsia="仿宋_GB2312"/>
                <w:color w:val="000000"/>
                <w:kern w:val="0"/>
                <w:sz w:val="24"/>
                <w:u w:color="000000"/>
              </w:rPr>
              <w:t>宗</w:t>
            </w:r>
            <w:r>
              <w:rPr>
                <w:rFonts w:hint="eastAsia" w:eastAsia="仿宋_GB2312"/>
                <w:color w:val="000000"/>
                <w:kern w:val="0"/>
                <w:sz w:val="24"/>
                <w:u w:color="000000"/>
              </w:rPr>
              <w:t>奎</w:t>
            </w:r>
          </w:p>
        </w:tc>
        <w:tc>
          <w:tcPr>
            <w:tcW w:w="3195" w:type="dxa"/>
            <w:vAlign w:val="center"/>
          </w:tcPr>
          <w:p>
            <w:pPr>
              <w:jc w:val="left"/>
              <w:rPr>
                <w:rFonts w:eastAsia="仿宋_GB2312"/>
                <w:color w:val="000000"/>
                <w:kern w:val="0"/>
                <w:sz w:val="24"/>
                <w:u w:color="000000"/>
              </w:rPr>
            </w:pPr>
            <w:r>
              <w:rPr>
                <w:rFonts w:hint="eastAsia" w:eastAsia="仿宋_GB2312"/>
                <w:sz w:val="24"/>
              </w:rPr>
              <w:t>华中师范大学教授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077" w:type="dxa"/>
            <w:vAlign w:val="center"/>
          </w:tcPr>
          <w:p>
            <w:pPr>
              <w:jc w:val="left"/>
              <w:rPr>
                <w:rFonts w:eastAsia="仿宋_GB2312"/>
                <w:color w:val="000000"/>
                <w:kern w:val="0"/>
                <w:sz w:val="24"/>
                <w:u w:color="000000"/>
              </w:rPr>
            </w:pPr>
            <w:r>
              <w:rPr>
                <w:rFonts w:hint="eastAsia" w:eastAsia="仿宋_GB2312"/>
                <w:color w:val="000000"/>
                <w:kern w:val="0"/>
                <w:sz w:val="24"/>
                <w:u w:color="000000"/>
              </w:rPr>
              <w:t>大学生积极心理品质提升经验交流</w:t>
            </w:r>
          </w:p>
        </w:tc>
        <w:tc>
          <w:tcPr>
            <w:tcW w:w="1276" w:type="dxa"/>
            <w:vAlign w:val="center"/>
          </w:tcPr>
          <w:p>
            <w:pPr>
              <w:jc w:val="center"/>
              <w:rPr>
                <w:rFonts w:eastAsia="仿宋_GB2312"/>
                <w:color w:val="000000"/>
                <w:kern w:val="0"/>
                <w:sz w:val="24"/>
                <w:u w:color="000000"/>
              </w:rPr>
            </w:pPr>
            <w:r>
              <w:rPr>
                <w:rFonts w:hint="eastAsia" w:eastAsia="仿宋_GB2312"/>
                <w:color w:val="000000"/>
                <w:kern w:val="0"/>
                <w:sz w:val="24"/>
                <w:u w:color="000000"/>
              </w:rPr>
              <w:t>乔志宏</w:t>
            </w:r>
          </w:p>
        </w:tc>
        <w:tc>
          <w:tcPr>
            <w:tcW w:w="3195" w:type="dxa"/>
            <w:vAlign w:val="center"/>
          </w:tcPr>
          <w:p>
            <w:pPr>
              <w:jc w:val="left"/>
              <w:rPr>
                <w:rFonts w:eastAsia="仿宋_GB2312"/>
                <w:color w:val="000000"/>
                <w:kern w:val="0"/>
                <w:sz w:val="24"/>
                <w:u w:color="000000"/>
              </w:rPr>
            </w:pPr>
            <w:r>
              <w:rPr>
                <w:rFonts w:hint="eastAsia" w:eastAsia="仿宋_GB2312"/>
                <w:color w:val="000000"/>
                <w:kern w:val="0"/>
                <w:sz w:val="24"/>
                <w:u w:color="000000"/>
              </w:rPr>
              <w:t>北京师范大学教授</w:t>
            </w:r>
          </w:p>
        </w:tc>
      </w:tr>
    </w:tbl>
    <w:p>
      <w:pPr>
        <w:jc w:val="left"/>
        <w:rPr>
          <w:rFonts w:eastAsia="仿宋_GB2312"/>
          <w:color w:val="000000"/>
          <w:sz w:val="24"/>
        </w:rPr>
      </w:pPr>
      <w:r>
        <w:rPr>
          <w:rFonts w:hint="eastAsia" w:eastAsia="仿宋_GB2312"/>
          <w:color w:val="000000"/>
          <w:sz w:val="24"/>
        </w:rPr>
        <w:t xml:space="preserve">说明：1.个别课程或稍有调整，请以平台最终发布课程为准； </w:t>
      </w:r>
    </w:p>
    <w:p>
      <w:pPr>
        <w:ind w:firstLine="720" w:firstLineChars="300"/>
        <w:jc w:val="left"/>
        <w:rPr>
          <w:rFonts w:eastAsia="仿宋_GB2312"/>
          <w:color w:val="000000"/>
          <w:kern w:val="0"/>
          <w:sz w:val="24"/>
          <w:u w:color="000000"/>
        </w:rPr>
      </w:pPr>
      <w:r>
        <w:rPr>
          <w:rFonts w:hint="eastAsia" w:eastAsia="仿宋_GB2312"/>
          <w:color w:val="000000"/>
          <w:sz w:val="24"/>
        </w:rPr>
        <w:t>2.课程主讲人职务为课程录制时的职务。</w:t>
      </w:r>
    </w:p>
    <w:p>
      <w:pPr>
        <w:spacing w:line="600" w:lineRule="exact"/>
        <w:ind w:firstLine="600" w:firstLineChars="200"/>
        <w:jc w:val="left"/>
        <w:outlineLvl w:val="0"/>
        <w:rPr>
          <w:rFonts w:eastAsia="黑体"/>
          <w:kern w:val="0"/>
          <w:sz w:val="30"/>
          <w:szCs w:val="30"/>
        </w:rPr>
      </w:pPr>
      <w:r>
        <w:rPr>
          <w:rFonts w:hint="eastAsia" w:eastAsia="黑体"/>
          <w:kern w:val="0"/>
          <w:sz w:val="30"/>
          <w:szCs w:val="30"/>
        </w:rPr>
        <w:t>四、培训环节与要求</w:t>
      </w:r>
    </w:p>
    <w:p>
      <w:pPr>
        <w:spacing w:line="600" w:lineRule="exact"/>
        <w:ind w:firstLine="600" w:firstLineChars="200"/>
        <w:rPr>
          <w:rFonts w:eastAsia="仿宋_GB2312"/>
          <w:sz w:val="30"/>
          <w:szCs w:val="30"/>
        </w:rPr>
      </w:pPr>
      <w:r>
        <w:rPr>
          <w:rFonts w:hint="eastAsia" w:eastAsia="仿宋_GB2312"/>
          <w:sz w:val="30"/>
          <w:szCs w:val="30"/>
        </w:rPr>
        <w:t>培训分课程学习、主题研讨、心得撰写</w:t>
      </w:r>
      <w:r>
        <w:rPr>
          <w:rFonts w:eastAsia="仿宋_GB2312"/>
          <w:sz w:val="30"/>
          <w:szCs w:val="30"/>
        </w:rPr>
        <w:t>三</w:t>
      </w:r>
      <w:r>
        <w:rPr>
          <w:rFonts w:hint="eastAsia" w:eastAsia="仿宋_GB2312"/>
          <w:sz w:val="30"/>
          <w:szCs w:val="30"/>
        </w:rPr>
        <w:t>个环节。</w:t>
      </w:r>
    </w:p>
    <w:p>
      <w:pPr>
        <w:spacing w:line="600" w:lineRule="exact"/>
        <w:ind w:firstLine="602" w:firstLineChars="200"/>
        <w:rPr>
          <w:rFonts w:eastAsia="仿宋_GB2312"/>
          <w:sz w:val="30"/>
          <w:szCs w:val="30"/>
        </w:rPr>
      </w:pPr>
      <w:r>
        <w:rPr>
          <w:rFonts w:hint="eastAsia" w:eastAsia="仿宋_GB2312"/>
          <w:b/>
          <w:bCs/>
          <w:sz w:val="30"/>
          <w:szCs w:val="30"/>
        </w:rPr>
        <w:t>1. 课程学习</w:t>
      </w:r>
      <w:r>
        <w:rPr>
          <w:rFonts w:hint="eastAsia" w:eastAsia="仿宋_GB2312"/>
          <w:sz w:val="30"/>
          <w:szCs w:val="30"/>
        </w:rPr>
        <w:t>：培训期间，要求参训学员</w:t>
      </w:r>
      <w:r>
        <w:rPr>
          <w:rFonts w:eastAsia="仿宋_GB2312"/>
          <w:sz w:val="30"/>
          <w:szCs w:val="30"/>
        </w:rPr>
        <w:t>认真收看所有直播课程，并</w:t>
      </w:r>
      <w:r>
        <w:rPr>
          <w:rFonts w:hint="eastAsia" w:eastAsia="仿宋_GB2312"/>
          <w:sz w:val="30"/>
          <w:szCs w:val="30"/>
        </w:rPr>
        <w:t>完成不少于</w:t>
      </w:r>
      <w:r>
        <w:rPr>
          <w:rFonts w:eastAsia="仿宋_GB2312"/>
          <w:sz w:val="30"/>
          <w:szCs w:val="30"/>
        </w:rPr>
        <w:t>8</w:t>
      </w:r>
      <w:r>
        <w:rPr>
          <w:rFonts w:hint="eastAsia" w:eastAsia="仿宋_GB2312"/>
          <w:sz w:val="30"/>
          <w:szCs w:val="30"/>
        </w:rPr>
        <w:t>学时（</w:t>
      </w:r>
      <w:r>
        <w:rPr>
          <w:rFonts w:eastAsia="仿宋_GB2312"/>
          <w:sz w:val="30"/>
          <w:szCs w:val="30"/>
        </w:rPr>
        <w:t>45</w:t>
      </w:r>
      <w:r>
        <w:rPr>
          <w:rFonts w:hint="eastAsia" w:eastAsia="仿宋_GB2312"/>
          <w:sz w:val="30"/>
          <w:szCs w:val="30"/>
        </w:rPr>
        <w:t>分钟/学时）录播课程学习任务。</w:t>
      </w:r>
    </w:p>
    <w:p>
      <w:pPr>
        <w:spacing w:line="600" w:lineRule="exact"/>
        <w:ind w:firstLine="602" w:firstLineChars="200"/>
        <w:rPr>
          <w:rFonts w:eastAsia="仿宋_GB2312"/>
          <w:sz w:val="30"/>
          <w:szCs w:val="30"/>
        </w:rPr>
      </w:pPr>
      <w:r>
        <w:rPr>
          <w:rFonts w:eastAsia="仿宋_GB2312"/>
          <w:b/>
          <w:bCs/>
          <w:sz w:val="30"/>
          <w:szCs w:val="30"/>
        </w:rPr>
        <w:t>2</w:t>
      </w:r>
      <w:r>
        <w:rPr>
          <w:rFonts w:hint="eastAsia" w:eastAsia="仿宋_GB2312"/>
          <w:b/>
          <w:bCs/>
          <w:sz w:val="30"/>
          <w:szCs w:val="30"/>
        </w:rPr>
        <w:t>. 主题研讨：</w:t>
      </w:r>
      <w:r>
        <w:rPr>
          <w:rFonts w:hint="eastAsia" w:eastAsia="仿宋_GB2312"/>
          <w:sz w:val="30"/>
          <w:szCs w:val="30"/>
        </w:rPr>
        <w:t>培训期间，参训学员在班级管理员的组织下可围绕“如何做好疫情期间高校学生的心理健康教育工作”</w:t>
      </w:r>
      <w:r>
        <w:rPr>
          <w:rFonts w:eastAsia="仿宋_GB2312"/>
          <w:sz w:val="30"/>
          <w:szCs w:val="30"/>
        </w:rPr>
        <w:t>、</w:t>
      </w:r>
      <w:r>
        <w:rPr>
          <w:rFonts w:hint="eastAsia" w:eastAsia="仿宋_GB2312"/>
          <w:sz w:val="30"/>
          <w:szCs w:val="30"/>
        </w:rPr>
        <w:t>“如何提高大学生积极心理品质”</w:t>
      </w:r>
      <w:r>
        <w:rPr>
          <w:rFonts w:eastAsia="仿宋_GB2312"/>
          <w:sz w:val="30"/>
          <w:szCs w:val="30"/>
        </w:rPr>
        <w:t>、</w:t>
      </w:r>
      <w:r>
        <w:rPr>
          <w:rFonts w:hint="eastAsia" w:eastAsia="仿宋_GB2312"/>
          <w:sz w:val="30"/>
          <w:szCs w:val="30"/>
        </w:rPr>
        <w:t>“大学生心理危机预防干预的重点难点”等主题进行网络集中研讨。</w:t>
      </w:r>
    </w:p>
    <w:p>
      <w:pPr>
        <w:spacing w:line="600" w:lineRule="exact"/>
        <w:ind w:firstLine="602" w:firstLineChars="200"/>
        <w:rPr>
          <w:rFonts w:eastAsia="仿宋_GB2312"/>
          <w:sz w:val="30"/>
          <w:szCs w:val="30"/>
        </w:rPr>
      </w:pPr>
      <w:r>
        <w:rPr>
          <w:rFonts w:eastAsia="仿宋_GB2312"/>
          <w:b/>
          <w:bCs/>
          <w:sz w:val="30"/>
          <w:szCs w:val="30"/>
        </w:rPr>
        <w:t>3</w:t>
      </w:r>
      <w:r>
        <w:rPr>
          <w:rFonts w:hint="eastAsia" w:eastAsia="仿宋_GB2312"/>
          <w:b/>
          <w:bCs/>
          <w:sz w:val="30"/>
          <w:szCs w:val="30"/>
        </w:rPr>
        <w:t>. 心得撰写：</w:t>
      </w:r>
      <w:r>
        <w:rPr>
          <w:rFonts w:hint="eastAsia" w:eastAsia="仿宋_GB2312"/>
          <w:sz w:val="30"/>
          <w:szCs w:val="30"/>
        </w:rPr>
        <w:t>培训期间，参训学员可结合学习所得与岗位工作实际，提交一篇不少于</w:t>
      </w:r>
      <w:r>
        <w:rPr>
          <w:rFonts w:eastAsia="仿宋_GB2312"/>
          <w:sz w:val="30"/>
          <w:szCs w:val="30"/>
        </w:rPr>
        <w:t>1500</w:t>
      </w:r>
      <w:r>
        <w:rPr>
          <w:rFonts w:hint="eastAsia" w:eastAsia="仿宋_GB2312"/>
          <w:sz w:val="30"/>
          <w:szCs w:val="30"/>
        </w:rPr>
        <w:t>字的心理工作案例，运用理论知识分析产生问题的原因，并提出解决问题的方法与策略，促进所学知识向能力的转化，也为其他学员解决此类问题提供经验参考。优秀稿件可推送“学习强国”平台宣传展示。</w:t>
      </w:r>
    </w:p>
    <w:p>
      <w:pPr>
        <w:spacing w:line="600" w:lineRule="exact"/>
        <w:ind w:firstLine="600" w:firstLineChars="200"/>
        <w:jc w:val="left"/>
        <w:outlineLvl w:val="0"/>
        <w:rPr>
          <w:rFonts w:eastAsia="黑体"/>
          <w:kern w:val="0"/>
          <w:sz w:val="30"/>
          <w:szCs w:val="30"/>
        </w:rPr>
      </w:pPr>
      <w:r>
        <w:rPr>
          <w:rFonts w:hint="eastAsia" w:eastAsia="黑体"/>
          <w:kern w:val="0"/>
          <w:sz w:val="30"/>
          <w:szCs w:val="30"/>
        </w:rPr>
        <w:t>五</w:t>
      </w:r>
      <w:r>
        <w:rPr>
          <w:rFonts w:eastAsia="黑体"/>
          <w:kern w:val="0"/>
          <w:sz w:val="30"/>
          <w:szCs w:val="30"/>
        </w:rPr>
        <w:t>、培训考核</w:t>
      </w:r>
    </w:p>
    <w:p>
      <w:pPr>
        <w:spacing w:line="600" w:lineRule="exact"/>
        <w:ind w:firstLine="600" w:firstLineChars="200"/>
        <w:rPr>
          <w:rFonts w:eastAsia="仿宋_GB2312"/>
          <w:sz w:val="30"/>
          <w:szCs w:val="30"/>
        </w:rPr>
      </w:pPr>
      <w:r>
        <w:rPr>
          <w:rFonts w:hint="eastAsia" w:eastAsia="仿宋_GB2312"/>
          <w:sz w:val="30"/>
          <w:szCs w:val="30"/>
        </w:rPr>
        <w:t>为确保培训质量和培训效果，确定了以“基于任务”和“关注过程”为原则的考核方法，培训从过程性与获得感两个维度对学员进行考核，完成各项培训考核要求的参训学员可在线打印学时证明，所学学时计入继续教育培训学时。</w:t>
      </w:r>
    </w:p>
    <w:tbl>
      <w:tblPr>
        <w:tblStyle w:val="5"/>
        <w:tblW w:w="8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3" w:type="dxa"/>
            <w:vAlign w:val="center"/>
          </w:tcPr>
          <w:p>
            <w:pPr>
              <w:spacing w:line="400" w:lineRule="exact"/>
              <w:contextualSpacing/>
              <w:jc w:val="center"/>
              <w:rPr>
                <w:rFonts w:eastAsia="仿宋_GB2312"/>
                <w:b/>
                <w:sz w:val="24"/>
              </w:rPr>
            </w:pPr>
            <w:r>
              <w:rPr>
                <w:rFonts w:hint="eastAsia" w:eastAsia="仿宋_GB2312"/>
                <w:b/>
                <w:sz w:val="24"/>
              </w:rPr>
              <w:t>考核方式</w:t>
            </w:r>
          </w:p>
        </w:tc>
        <w:tc>
          <w:tcPr>
            <w:tcW w:w="6892" w:type="dxa"/>
            <w:vAlign w:val="center"/>
          </w:tcPr>
          <w:p>
            <w:pPr>
              <w:spacing w:line="400" w:lineRule="exact"/>
              <w:contextualSpacing/>
              <w:jc w:val="center"/>
              <w:rPr>
                <w:rFonts w:eastAsia="仿宋_GB2312"/>
                <w:b/>
                <w:sz w:val="24"/>
              </w:rPr>
            </w:pPr>
            <w:r>
              <w:rPr>
                <w:rFonts w:hint="eastAsia" w:eastAsia="仿宋_GB2312"/>
                <w:b/>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423" w:type="dxa"/>
            <w:vMerge w:val="restart"/>
            <w:vAlign w:val="center"/>
          </w:tcPr>
          <w:p>
            <w:pPr>
              <w:spacing w:line="400" w:lineRule="exact"/>
              <w:contextualSpacing/>
              <w:jc w:val="center"/>
              <w:rPr>
                <w:rFonts w:eastAsia="仿宋_GB2312"/>
                <w:sz w:val="24"/>
              </w:rPr>
            </w:pPr>
            <w:r>
              <w:rPr>
                <w:rFonts w:hint="eastAsia" w:eastAsia="仿宋_GB2312"/>
                <w:sz w:val="24"/>
              </w:rPr>
              <w:t>过程考核</w:t>
            </w:r>
          </w:p>
        </w:tc>
        <w:tc>
          <w:tcPr>
            <w:tcW w:w="6892" w:type="dxa"/>
            <w:vAlign w:val="center"/>
          </w:tcPr>
          <w:p>
            <w:pPr>
              <w:spacing w:line="400" w:lineRule="exact"/>
              <w:contextualSpacing/>
              <w:rPr>
                <w:rFonts w:eastAsia="仿宋_GB2312"/>
                <w:sz w:val="24"/>
              </w:rPr>
            </w:pPr>
            <w:r>
              <w:rPr>
                <w:rFonts w:hint="eastAsia" w:eastAsia="仿宋_GB2312"/>
                <w:sz w:val="24"/>
              </w:rPr>
              <w:t>完成不少于8学时的录播课程学习。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423" w:type="dxa"/>
            <w:vMerge w:val="continue"/>
            <w:vAlign w:val="center"/>
          </w:tcPr>
          <w:p>
            <w:pPr>
              <w:spacing w:line="400" w:lineRule="exact"/>
              <w:contextualSpacing/>
              <w:jc w:val="center"/>
              <w:rPr>
                <w:rFonts w:eastAsia="仿宋_GB2312"/>
                <w:sz w:val="24"/>
              </w:rPr>
            </w:pPr>
          </w:p>
        </w:tc>
        <w:tc>
          <w:tcPr>
            <w:tcW w:w="6892" w:type="dxa"/>
            <w:vAlign w:val="center"/>
          </w:tcPr>
          <w:p>
            <w:pPr>
              <w:spacing w:line="400" w:lineRule="exact"/>
              <w:rPr>
                <w:rFonts w:eastAsia="仿宋_GB2312"/>
                <w:sz w:val="24"/>
              </w:rPr>
            </w:pPr>
            <w:r>
              <w:rPr>
                <w:rFonts w:hint="eastAsia" w:eastAsia="仿宋_GB2312"/>
                <w:sz w:val="24"/>
              </w:rPr>
              <w:t>参与班级研讨不少于</w:t>
            </w:r>
            <w:r>
              <w:rPr>
                <w:rFonts w:eastAsia="仿宋_GB2312"/>
                <w:sz w:val="24"/>
              </w:rPr>
              <w:t>2</w:t>
            </w:r>
            <w:r>
              <w:rPr>
                <w:rFonts w:hint="eastAsia" w:eastAsia="仿宋_GB2312"/>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423" w:type="dxa"/>
            <w:vMerge w:val="continue"/>
            <w:vAlign w:val="center"/>
          </w:tcPr>
          <w:p>
            <w:pPr>
              <w:spacing w:line="400" w:lineRule="exact"/>
              <w:contextualSpacing/>
              <w:jc w:val="center"/>
              <w:rPr>
                <w:rFonts w:eastAsia="仿宋_GB2312"/>
                <w:sz w:val="24"/>
              </w:rPr>
            </w:pPr>
          </w:p>
        </w:tc>
        <w:tc>
          <w:tcPr>
            <w:tcW w:w="6892" w:type="dxa"/>
            <w:vAlign w:val="center"/>
          </w:tcPr>
          <w:p>
            <w:pPr>
              <w:spacing w:line="400" w:lineRule="exact"/>
              <w:rPr>
                <w:rFonts w:eastAsia="仿宋_GB2312"/>
                <w:sz w:val="24"/>
              </w:rPr>
            </w:pPr>
            <w:r>
              <w:rPr>
                <w:rFonts w:hint="eastAsia" w:eastAsia="仿宋_GB2312"/>
                <w:sz w:val="24"/>
              </w:rPr>
              <w:t>参与直播活动。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423" w:type="dxa"/>
            <w:vAlign w:val="center"/>
          </w:tcPr>
          <w:p>
            <w:pPr>
              <w:spacing w:line="400" w:lineRule="exact"/>
              <w:contextualSpacing/>
              <w:jc w:val="center"/>
              <w:rPr>
                <w:rFonts w:eastAsia="仿宋_GB2312"/>
                <w:sz w:val="24"/>
              </w:rPr>
            </w:pPr>
            <w:r>
              <w:rPr>
                <w:rFonts w:hint="eastAsia" w:eastAsia="仿宋_GB2312"/>
                <w:sz w:val="24"/>
              </w:rPr>
              <w:t>成果考核</w:t>
            </w:r>
          </w:p>
        </w:tc>
        <w:tc>
          <w:tcPr>
            <w:tcW w:w="6892" w:type="dxa"/>
            <w:vAlign w:val="center"/>
          </w:tcPr>
          <w:p>
            <w:pPr>
              <w:spacing w:line="400" w:lineRule="exact"/>
              <w:rPr>
                <w:rFonts w:eastAsia="仿宋_GB2312"/>
                <w:sz w:val="24"/>
              </w:rPr>
            </w:pPr>
            <w:r>
              <w:rPr>
                <w:rFonts w:hint="eastAsia" w:eastAsia="仿宋_GB2312"/>
                <w:sz w:val="24"/>
              </w:rPr>
              <w:t>提交一篇不少于</w:t>
            </w:r>
            <w:r>
              <w:rPr>
                <w:rFonts w:eastAsia="仿宋_GB2312"/>
                <w:sz w:val="24"/>
              </w:rPr>
              <w:t>1500</w:t>
            </w:r>
            <w:r>
              <w:rPr>
                <w:rFonts w:hint="eastAsia" w:eastAsia="仿宋_GB2312"/>
                <w:sz w:val="24"/>
              </w:rPr>
              <w:t>字的学生心理育人工作案例，要求:思想性和实操性强、主题鲜明、条理清晰、结构完整、逻辑严谨、内容详实，如发现抄袭等情况不予结业。</w:t>
            </w:r>
          </w:p>
        </w:tc>
      </w:tr>
    </w:tbl>
    <w:p>
      <w:pPr>
        <w:spacing w:line="600" w:lineRule="exact"/>
        <w:ind w:firstLine="600" w:firstLineChars="200"/>
        <w:jc w:val="left"/>
        <w:rPr>
          <w:rFonts w:eastAsia="黑体"/>
          <w:kern w:val="0"/>
          <w:sz w:val="30"/>
          <w:szCs w:val="30"/>
        </w:rPr>
      </w:pPr>
      <w:r>
        <w:rPr>
          <w:rFonts w:hint="eastAsia" w:eastAsia="黑体"/>
          <w:kern w:val="0"/>
          <w:sz w:val="30"/>
          <w:szCs w:val="30"/>
        </w:rPr>
        <w:t>六、培训总结与评估</w:t>
      </w:r>
    </w:p>
    <w:p>
      <w:pPr>
        <w:spacing w:line="600" w:lineRule="exact"/>
        <w:ind w:firstLine="600" w:firstLineChars="200"/>
        <w:rPr>
          <w:rFonts w:eastAsia="仿宋_GB2312"/>
          <w:sz w:val="30"/>
          <w:szCs w:val="30"/>
        </w:rPr>
      </w:pPr>
      <w:r>
        <w:rPr>
          <w:rFonts w:hint="eastAsia" w:eastAsia="仿宋_GB2312"/>
          <w:sz w:val="30"/>
          <w:szCs w:val="30"/>
        </w:rPr>
        <w:t>培训结束后，高校辅导员网络学院将收集整理各地培训总结和优秀工作案例，组织对培训工作和满意度进行评估，包括需求适配度、内容设计科学性、师资选配合理性、组织有序性等，进一步总结培训管理经验，为今后培训工作的开展奠定基础。</w:t>
      </w:r>
    </w:p>
    <w:p>
      <w:pPr>
        <w:spacing w:line="600" w:lineRule="exact"/>
        <w:ind w:firstLine="600" w:firstLineChars="200"/>
        <w:jc w:val="left"/>
        <w:outlineLvl w:val="0"/>
        <w:rPr>
          <w:rFonts w:eastAsia="黑体"/>
          <w:kern w:val="0"/>
          <w:sz w:val="30"/>
          <w:szCs w:val="30"/>
        </w:rPr>
      </w:pPr>
      <w:r>
        <w:rPr>
          <w:rFonts w:hint="eastAsia" w:eastAsia="黑体"/>
          <w:kern w:val="0"/>
          <w:sz w:val="30"/>
          <w:szCs w:val="30"/>
        </w:rPr>
        <w:t>七、组织管理与保障</w:t>
      </w:r>
    </w:p>
    <w:p>
      <w:pPr>
        <w:spacing w:line="600" w:lineRule="exact"/>
        <w:ind w:firstLine="600" w:firstLineChars="200"/>
        <w:rPr>
          <w:rFonts w:eastAsia="仿宋_GB2312"/>
          <w:sz w:val="30"/>
          <w:szCs w:val="30"/>
          <w:u w:color="000000"/>
          <w:lang w:val="zh-TW"/>
        </w:rPr>
      </w:pPr>
      <w:r>
        <w:rPr>
          <w:rFonts w:eastAsia="仿宋_GB2312"/>
          <w:sz w:val="30"/>
          <w:szCs w:val="30"/>
        </w:rPr>
        <w:t>1</w:t>
      </w:r>
      <w:r>
        <w:rPr>
          <w:rFonts w:hint="eastAsia" w:eastAsia="仿宋_GB2312"/>
          <w:sz w:val="30"/>
          <w:szCs w:val="30"/>
        </w:rPr>
        <w:t xml:space="preserve">. </w:t>
      </w:r>
      <w:r>
        <w:rPr>
          <w:rFonts w:hint="eastAsia" w:eastAsia="仿宋_GB2312"/>
          <w:sz w:val="30"/>
          <w:szCs w:val="30"/>
          <w:lang w:val="zh-TW"/>
        </w:rPr>
        <w:t>培训由教育部思想政治工作司负责统筹规划与指导，委托国家教育行政学院组织实施。</w:t>
      </w:r>
      <w:r>
        <w:rPr>
          <w:rFonts w:hint="eastAsia" w:eastAsia="仿宋_GB2312"/>
          <w:sz w:val="30"/>
          <w:szCs w:val="30"/>
        </w:rPr>
        <w:t>国家教育行政学院成立专项工作组，负责培训方案的设计与具体实施工作。</w:t>
      </w:r>
      <w:r>
        <w:rPr>
          <w:rFonts w:hint="eastAsia" w:eastAsia="仿宋_GB2312"/>
          <w:sz w:val="30"/>
          <w:szCs w:val="30"/>
          <w:u w:color="000000"/>
          <w:lang w:val="zh-TW" w:eastAsia="zh-TW"/>
        </w:rPr>
        <w:t>各地党委教育工作部门</w:t>
      </w:r>
      <w:r>
        <w:rPr>
          <w:rFonts w:hint="eastAsia" w:eastAsia="仿宋_GB2312"/>
          <w:sz w:val="30"/>
          <w:szCs w:val="30"/>
          <w:u w:color="000000"/>
          <w:lang w:val="zh-TW"/>
        </w:rPr>
        <w:t>负责统筹协调本地本校的培训工作，统一部署、细化要求，认真做好学员遴选和培训组织等工作。</w:t>
      </w:r>
    </w:p>
    <w:p>
      <w:pPr>
        <w:spacing w:line="600" w:lineRule="exact"/>
        <w:ind w:firstLine="600" w:firstLineChars="200"/>
        <w:rPr>
          <w:rFonts w:eastAsia="仿宋_GB2312"/>
          <w:sz w:val="30"/>
          <w:szCs w:val="30"/>
        </w:rPr>
      </w:pPr>
      <w:r>
        <w:rPr>
          <w:rFonts w:eastAsia="仿宋_GB2312"/>
          <w:sz w:val="30"/>
          <w:szCs w:val="30"/>
        </w:rPr>
        <w:t>2</w:t>
      </w:r>
      <w:r>
        <w:rPr>
          <w:rFonts w:hint="eastAsia" w:eastAsia="仿宋_GB2312"/>
          <w:sz w:val="30"/>
          <w:szCs w:val="30"/>
        </w:rPr>
        <w:t>. 省级党委教育工作部门严格按要求编排班组，建议以高校为单位组建学习小组。在班组开展活动时，由省级党委教育工作部门确定班级管理员，并要求高校确定学习小组负责人。国家教育行政学院相关老师将牵头组建由省级联系人、班级管理员构成的团队工作</w:t>
      </w:r>
      <w:r>
        <w:rPr>
          <w:rFonts w:eastAsia="仿宋_GB2312"/>
          <w:sz w:val="30"/>
          <w:szCs w:val="30"/>
        </w:rPr>
        <w:t>QQ</w:t>
      </w:r>
      <w:r>
        <w:rPr>
          <w:rFonts w:hint="eastAsia" w:eastAsia="仿宋_GB2312"/>
          <w:sz w:val="30"/>
          <w:szCs w:val="30"/>
        </w:rPr>
        <w:t>群，协作进行组织管理与督学促学工作，具体职责将在平台公布。</w:t>
      </w:r>
    </w:p>
    <w:p>
      <w:pPr>
        <w:spacing w:line="600" w:lineRule="exact"/>
        <w:ind w:firstLine="600" w:firstLineChars="200"/>
        <w:rPr>
          <w:rFonts w:eastAsia="仿宋_GB2312"/>
          <w:sz w:val="30"/>
          <w:szCs w:val="30"/>
        </w:rPr>
      </w:pPr>
      <w:r>
        <w:rPr>
          <w:rFonts w:eastAsia="仿宋_GB2312"/>
          <w:sz w:val="30"/>
          <w:szCs w:val="30"/>
        </w:rPr>
        <w:t>3</w:t>
      </w:r>
      <w:r>
        <w:rPr>
          <w:rFonts w:hint="eastAsia" w:eastAsia="仿宋_GB2312"/>
          <w:sz w:val="30"/>
          <w:szCs w:val="30"/>
        </w:rPr>
        <w:t>. 为更好地做好培训服务支持工作，及时解决参训学员遇到的各类问题，学员除可以直接联系班级管理员外，还可通过以下方式咨询培训中遇到的相关问题。</w:t>
      </w:r>
    </w:p>
    <w:p>
      <w:pPr>
        <w:spacing w:line="600" w:lineRule="exact"/>
        <w:ind w:firstLine="600" w:firstLineChars="200"/>
        <w:rPr>
          <w:rFonts w:eastAsia="仿宋_GB2312"/>
          <w:sz w:val="30"/>
          <w:szCs w:val="30"/>
        </w:rPr>
      </w:pPr>
      <w:r>
        <w:rPr>
          <w:rFonts w:hint="eastAsia" w:eastAsia="仿宋_GB2312"/>
          <w:sz w:val="30"/>
          <w:szCs w:val="30"/>
        </w:rPr>
        <w:t>（</w:t>
      </w:r>
      <w:r>
        <w:rPr>
          <w:rFonts w:eastAsia="仿宋_GB2312"/>
          <w:sz w:val="30"/>
          <w:szCs w:val="30"/>
        </w:rPr>
        <w:t>1</w:t>
      </w:r>
      <w:r>
        <w:rPr>
          <w:rFonts w:hint="eastAsia" w:eastAsia="仿宋_GB2312"/>
          <w:sz w:val="30"/>
          <w:szCs w:val="30"/>
        </w:rPr>
        <w:t>）直接拨打学员服务热线电话：</w:t>
      </w:r>
      <w:r>
        <w:rPr>
          <w:rFonts w:eastAsia="仿宋_GB2312"/>
          <w:sz w:val="30"/>
          <w:szCs w:val="30"/>
        </w:rPr>
        <w:t>4008119908</w:t>
      </w:r>
    </w:p>
    <w:p>
      <w:pPr>
        <w:spacing w:line="600" w:lineRule="exact"/>
        <w:ind w:firstLine="600" w:firstLineChars="200"/>
        <w:rPr>
          <w:rFonts w:eastAsia="仿宋_GB2312"/>
          <w:sz w:val="30"/>
          <w:szCs w:val="30"/>
        </w:rPr>
      </w:pPr>
      <w:r>
        <w:rPr>
          <w:rFonts w:hint="eastAsia" w:eastAsia="仿宋_GB2312"/>
          <w:sz w:val="30"/>
          <w:szCs w:val="30"/>
        </w:rPr>
        <w:t>服务时间：</w:t>
      </w:r>
      <w:r>
        <w:rPr>
          <w:rFonts w:eastAsia="仿宋_GB2312"/>
          <w:sz w:val="30"/>
          <w:szCs w:val="30"/>
        </w:rPr>
        <w:t>上午8:30-12:00；下午13:00-22:00</w:t>
      </w:r>
      <w:r>
        <w:rPr>
          <w:rFonts w:hint="eastAsia" w:eastAsia="仿宋_GB2312"/>
          <w:sz w:val="30"/>
          <w:szCs w:val="30"/>
        </w:rPr>
        <w:t>；周末及节假日照常值班。</w:t>
      </w:r>
    </w:p>
    <w:p>
      <w:pPr>
        <w:spacing w:line="600" w:lineRule="exact"/>
        <w:ind w:firstLine="600" w:firstLineChars="200"/>
        <w:rPr>
          <w:rFonts w:eastAsia="仿宋_GB2312"/>
          <w:sz w:val="30"/>
          <w:szCs w:val="30"/>
        </w:rPr>
      </w:pPr>
      <w:r>
        <w:rPr>
          <w:rFonts w:hint="eastAsia" w:eastAsia="仿宋_GB2312"/>
          <w:sz w:val="30"/>
          <w:szCs w:val="30"/>
        </w:rPr>
        <w:t>（</w:t>
      </w:r>
      <w:r>
        <w:rPr>
          <w:rFonts w:eastAsia="仿宋_GB2312"/>
          <w:sz w:val="30"/>
          <w:szCs w:val="30"/>
        </w:rPr>
        <w:t>2</w:t>
      </w:r>
      <w:r>
        <w:rPr>
          <w:rFonts w:hint="eastAsia" w:eastAsia="仿宋_GB2312"/>
          <w:sz w:val="30"/>
          <w:szCs w:val="30"/>
        </w:rPr>
        <w:t>）通过平台登录后的客服浮窗咨询学员服务老师：</w:t>
      </w:r>
    </w:p>
    <w:p>
      <w:pPr>
        <w:spacing w:line="600" w:lineRule="exact"/>
        <w:ind w:firstLine="600" w:firstLineChars="200"/>
        <w:rPr>
          <w:rFonts w:eastAsia="仿宋_GB2312"/>
          <w:sz w:val="30"/>
          <w:szCs w:val="30"/>
        </w:rPr>
      </w:pPr>
      <w:r>
        <w:rPr>
          <w:rFonts w:hint="eastAsia" w:eastAsia="仿宋_GB2312"/>
          <w:sz w:val="30"/>
          <w:szCs w:val="30"/>
        </w:rPr>
        <w:t>周一至周五：上午</w:t>
      </w:r>
      <w:r>
        <w:rPr>
          <w:rFonts w:eastAsia="仿宋_GB2312"/>
          <w:sz w:val="30"/>
          <w:szCs w:val="30"/>
        </w:rPr>
        <w:t>8:30-12:00</w:t>
      </w:r>
      <w:r>
        <w:rPr>
          <w:rFonts w:hint="eastAsia" w:eastAsia="仿宋_GB2312"/>
          <w:sz w:val="30"/>
          <w:szCs w:val="30"/>
        </w:rPr>
        <w:t>，下午</w:t>
      </w:r>
      <w:r>
        <w:rPr>
          <w:rFonts w:eastAsia="仿宋_GB2312"/>
          <w:sz w:val="30"/>
          <w:szCs w:val="30"/>
        </w:rPr>
        <w:t>13:00-17:30</w:t>
      </w:r>
      <w:r>
        <w:rPr>
          <w:rFonts w:hint="eastAsia" w:eastAsia="仿宋_GB2312"/>
          <w:sz w:val="30"/>
          <w:szCs w:val="30"/>
        </w:rPr>
        <w:t>。</w:t>
      </w:r>
    </w:p>
    <w:p>
      <w:pPr>
        <w:spacing w:line="600" w:lineRule="exact"/>
        <w:ind w:firstLine="600" w:firstLineChars="200"/>
      </w:pPr>
      <w:r>
        <w:rPr>
          <w:rFonts w:hint="eastAsia" w:eastAsia="仿宋_GB2312"/>
          <w:sz w:val="30"/>
          <w:szCs w:val="30"/>
        </w:rPr>
        <w:t>通过平台登录后页面右侧的“平台操作咨询”窗口留言咨询。</w:t>
      </w:r>
    </w:p>
    <w:sectPr>
      <w:footerReference r:id="rId7" w:type="first"/>
      <w:headerReference r:id="rId3" w:type="default"/>
      <w:footerReference r:id="rId5" w:type="default"/>
      <w:headerReference r:id="rId4" w:type="even"/>
      <w:footerReference r:id="rId6" w:type="even"/>
      <w:pgSz w:w="11907" w:h="16840"/>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sz w:val="28"/>
        <w:szCs w:val="28"/>
      </w:rPr>
    </w:pPr>
    <w:r>
      <w:rPr>
        <w:b/>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b/>
        <w:sz w:val="24"/>
        <w:szCs w:val="24"/>
      </w:rPr>
      <w:t xml:space="preserve"> </w:t>
    </w:r>
    <w:r>
      <w:rPr>
        <w:b/>
        <w:sz w:val="28"/>
        <w:szCs w:val="28"/>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62526"/>
    <w:multiLevelType w:val="singleLevel"/>
    <w:tmpl w:val="5FB6252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0255D"/>
    <w:rsid w:val="00440D9B"/>
    <w:rsid w:val="00A30592"/>
    <w:rsid w:val="00B523D0"/>
    <w:rsid w:val="04A203BD"/>
    <w:rsid w:val="22B0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
    <w:pPr>
      <w:spacing w:before="100" w:beforeAutospacing="1" w:after="100" w:afterAutospacing="1"/>
      <w:outlineLvl w:val="1"/>
    </w:pPr>
    <w:rPr>
      <w:rFonts w:ascii="宋体" w:hAnsi="宋体" w:eastAsia="宋体" w:cs="宋体"/>
      <w:b/>
      <w:bCs/>
      <w:sz w:val="36"/>
      <w:szCs w:val="36"/>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597</Words>
  <Characters>3409</Characters>
  <Lines>28</Lines>
  <Paragraphs>7</Paragraphs>
  <TotalTime>1</TotalTime>
  <ScaleCrop>false</ScaleCrop>
  <LinksUpToDate>false</LinksUpToDate>
  <CharactersWithSpaces>3999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2020-11-19T09:48:00Z</dcterms:created>
  <dc:creator>wangxuejun</dc:creator>
  <cp:lastModifiedBy>郑燕辉</cp:lastModifiedBy>
  <dcterms:modified xsi:type="dcterms:W3CDTF">2020-11-24T02:04:36Z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