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64B" w:rsidRDefault="00FA664B" w:rsidP="00FA664B">
      <w:pPr>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各单位</w:t>
      </w:r>
      <w:r w:rsidRPr="00D07734">
        <w:rPr>
          <w:rFonts w:ascii="方正小标宋简体" w:eastAsia="方正小标宋简体" w:hAnsi="宋体" w:cs="宋体" w:hint="eastAsia"/>
          <w:color w:val="000000"/>
          <w:kern w:val="0"/>
          <w:sz w:val="36"/>
          <w:szCs w:val="36"/>
        </w:rPr>
        <w:t>信息公开事项清单</w:t>
      </w:r>
    </w:p>
    <w:p w:rsidR="00A2342E" w:rsidRDefault="00FA664B" w:rsidP="00FA664B">
      <w:pPr>
        <w:jc w:val="center"/>
      </w:pPr>
      <w:r w:rsidRPr="00D07734">
        <w:rPr>
          <w:rFonts w:ascii="仿宋_GB2312" w:eastAsia="仿宋_GB2312" w:hAnsi="宋体" w:cs="宋体" w:hint="eastAsia"/>
          <w:b/>
          <w:bCs/>
          <w:kern w:val="0"/>
          <w:sz w:val="24"/>
          <w:szCs w:val="24"/>
        </w:rPr>
        <w:t>（共10大类50条）</w:t>
      </w:r>
    </w:p>
    <w:tbl>
      <w:tblPr>
        <w:tblStyle w:val="a5"/>
        <w:tblW w:w="14640" w:type="dxa"/>
        <w:jc w:val="center"/>
        <w:tblLook w:val="04A0"/>
      </w:tblPr>
      <w:tblGrid>
        <w:gridCol w:w="580"/>
        <w:gridCol w:w="1394"/>
        <w:gridCol w:w="5505"/>
        <w:gridCol w:w="5410"/>
        <w:gridCol w:w="1751"/>
      </w:tblGrid>
      <w:tr w:rsidR="00D07734" w:rsidRPr="00D07734" w:rsidTr="008921B9">
        <w:trPr>
          <w:trHeight w:val="402"/>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r w:rsidRPr="00D07734">
              <w:rPr>
                <w:rFonts w:ascii="仿宋_GB2312" w:eastAsia="仿宋_GB2312" w:hAnsi="宋体" w:cs="宋体" w:hint="eastAsia"/>
                <w:b/>
                <w:bCs/>
                <w:kern w:val="0"/>
                <w:sz w:val="24"/>
                <w:szCs w:val="24"/>
              </w:rPr>
              <w:t>序号</w:t>
            </w:r>
          </w:p>
        </w:tc>
        <w:tc>
          <w:tcPr>
            <w:tcW w:w="1394" w:type="dxa"/>
            <w:vMerge w:val="restart"/>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r w:rsidRPr="00D07734">
              <w:rPr>
                <w:rFonts w:ascii="仿宋_GB2312" w:eastAsia="仿宋_GB2312" w:hAnsi="宋体" w:cs="宋体" w:hint="eastAsia"/>
                <w:b/>
                <w:bCs/>
                <w:kern w:val="0"/>
                <w:sz w:val="24"/>
                <w:szCs w:val="24"/>
              </w:rPr>
              <w:t>类别</w:t>
            </w:r>
          </w:p>
        </w:tc>
        <w:tc>
          <w:tcPr>
            <w:tcW w:w="5505" w:type="dxa"/>
            <w:vMerge w:val="restart"/>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r w:rsidRPr="00D07734">
              <w:rPr>
                <w:rFonts w:ascii="仿宋_GB2312" w:eastAsia="仿宋_GB2312" w:hAnsi="宋体" w:cs="宋体" w:hint="eastAsia"/>
                <w:b/>
                <w:bCs/>
                <w:kern w:val="0"/>
                <w:sz w:val="24"/>
                <w:szCs w:val="24"/>
              </w:rPr>
              <w:t>公开事项</w:t>
            </w:r>
          </w:p>
        </w:tc>
        <w:tc>
          <w:tcPr>
            <w:tcW w:w="5410" w:type="dxa"/>
            <w:vMerge w:val="restart"/>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r w:rsidRPr="00D07734">
              <w:rPr>
                <w:rFonts w:ascii="仿宋_GB2312" w:eastAsia="仿宋_GB2312" w:hAnsi="宋体" w:cs="宋体" w:hint="eastAsia"/>
                <w:b/>
                <w:bCs/>
                <w:kern w:val="0"/>
                <w:sz w:val="24"/>
                <w:szCs w:val="24"/>
              </w:rPr>
              <w:t>有关文件</w:t>
            </w:r>
          </w:p>
        </w:tc>
        <w:tc>
          <w:tcPr>
            <w:tcW w:w="1751" w:type="dxa"/>
            <w:vMerge w:val="restart"/>
            <w:vAlign w:val="center"/>
            <w:hideMark/>
          </w:tcPr>
          <w:p w:rsidR="00D07734" w:rsidRPr="00D07734" w:rsidRDefault="00095671" w:rsidP="004A36A1">
            <w:pPr>
              <w:widowControl/>
              <w:spacing w:line="400" w:lineRule="exac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责任</w:t>
            </w:r>
            <w:r w:rsidR="00D07734" w:rsidRPr="00D07734">
              <w:rPr>
                <w:rFonts w:ascii="仿宋_GB2312" w:eastAsia="仿宋_GB2312" w:hAnsi="宋体" w:cs="宋体" w:hint="eastAsia"/>
                <w:b/>
                <w:bCs/>
                <w:kern w:val="0"/>
                <w:sz w:val="24"/>
                <w:szCs w:val="24"/>
              </w:rPr>
              <w:t>单位</w:t>
            </w:r>
          </w:p>
        </w:tc>
      </w:tr>
      <w:tr w:rsidR="00D07734" w:rsidRPr="00D07734" w:rsidTr="008921B9">
        <w:trPr>
          <w:trHeight w:val="40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p>
        </w:tc>
        <w:tc>
          <w:tcPr>
            <w:tcW w:w="5505" w:type="dxa"/>
            <w:vMerge/>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p>
        </w:tc>
        <w:tc>
          <w:tcPr>
            <w:tcW w:w="5410" w:type="dxa"/>
            <w:vMerge/>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宋体" w:cs="宋体"/>
                <w:b/>
                <w:bCs/>
                <w:kern w:val="0"/>
                <w:sz w:val="24"/>
                <w:szCs w:val="24"/>
              </w:rPr>
            </w:pPr>
          </w:p>
        </w:tc>
      </w:tr>
      <w:tr w:rsidR="00D07734" w:rsidRPr="00D07734" w:rsidTr="008921B9">
        <w:trPr>
          <w:trHeight w:val="798"/>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w:t>
            </w:r>
          </w:p>
        </w:tc>
        <w:tc>
          <w:tcPr>
            <w:tcW w:w="1394" w:type="dxa"/>
            <w:vMerge w:val="restart"/>
            <w:vAlign w:val="center"/>
            <w:hideMark/>
          </w:tcPr>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基本信息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（6项）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（1）办学规模、校级领导班子简介及分工、学校机构设置、学科情况、专业情况、各类在校生情况、教师和专业技术人员数量等办学基本情况</w:t>
            </w:r>
          </w:p>
        </w:tc>
        <w:tc>
          <w:tcPr>
            <w:tcW w:w="5410" w:type="dxa"/>
            <w:vMerge w:val="restart"/>
            <w:vAlign w:val="center"/>
            <w:hideMark/>
          </w:tcPr>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《高等学校章程制定暂行办法》（教育部令第31号）</w:t>
            </w:r>
          </w:p>
        </w:tc>
        <w:tc>
          <w:tcPr>
            <w:tcW w:w="1751" w:type="dxa"/>
            <w:vMerge w:val="restart"/>
            <w:vAlign w:val="center"/>
            <w:hideMark/>
          </w:tcPr>
          <w:p w:rsidR="00D07734" w:rsidRPr="00487D85" w:rsidRDefault="00D07734" w:rsidP="004A36A1">
            <w:pPr>
              <w:widowControl/>
              <w:spacing w:line="400" w:lineRule="exact"/>
              <w:rPr>
                <w:rFonts w:ascii="仿宋_GB2312" w:eastAsia="仿宋_GB2312" w:hAnsi="宋体" w:cs="宋体"/>
                <w:kern w:val="0"/>
                <w:sz w:val="24"/>
                <w:szCs w:val="24"/>
              </w:rPr>
            </w:pPr>
            <w:r w:rsidRPr="00D07734">
              <w:rPr>
                <w:rFonts w:ascii="仿宋_GB2312" w:eastAsia="仿宋_GB2312" w:hAnsi="宋体" w:cs="宋体" w:hint="eastAsia"/>
                <w:kern w:val="0"/>
                <w:sz w:val="24"/>
                <w:szCs w:val="24"/>
              </w:rPr>
              <w:t>党委办公室</w:t>
            </w:r>
          </w:p>
          <w:p w:rsidR="00D07734" w:rsidRPr="00487D85" w:rsidRDefault="00D07734" w:rsidP="004A36A1">
            <w:pPr>
              <w:widowControl/>
              <w:spacing w:line="400" w:lineRule="exact"/>
              <w:rPr>
                <w:rFonts w:ascii="仿宋_GB2312" w:eastAsia="仿宋_GB2312" w:hAnsi="宋体" w:cs="宋体"/>
                <w:kern w:val="0"/>
                <w:sz w:val="24"/>
                <w:szCs w:val="24"/>
              </w:rPr>
            </w:pPr>
            <w:r w:rsidRPr="00487D85">
              <w:rPr>
                <w:rFonts w:ascii="仿宋_GB2312" w:eastAsia="仿宋_GB2312" w:hAnsi="宋体" w:cs="宋体" w:hint="eastAsia"/>
                <w:kern w:val="0"/>
                <w:sz w:val="24"/>
                <w:szCs w:val="24"/>
              </w:rPr>
              <w:t>校长办公室</w:t>
            </w:r>
          </w:p>
          <w:p w:rsidR="00D07734" w:rsidRPr="00D07734" w:rsidRDefault="00D07734" w:rsidP="004A36A1">
            <w:pPr>
              <w:widowControl/>
              <w:spacing w:line="400" w:lineRule="exact"/>
              <w:rPr>
                <w:rFonts w:ascii="仿宋_GB2312" w:eastAsia="仿宋_GB2312" w:hAnsi="宋体" w:cs="宋体"/>
                <w:kern w:val="0"/>
                <w:sz w:val="24"/>
                <w:szCs w:val="24"/>
              </w:rPr>
            </w:pPr>
            <w:r w:rsidRPr="00487D85">
              <w:rPr>
                <w:rFonts w:ascii="仿宋_GB2312" w:eastAsia="仿宋_GB2312" w:hAnsi="宋体" w:cs="宋体" w:hint="eastAsia"/>
                <w:kern w:val="0"/>
                <w:sz w:val="24"/>
                <w:szCs w:val="24"/>
              </w:rPr>
              <w:t>发展规划处</w:t>
            </w:r>
          </w:p>
        </w:tc>
      </w:tr>
      <w:tr w:rsidR="00D07734" w:rsidRPr="00D07734" w:rsidTr="008921B9">
        <w:trPr>
          <w:trHeight w:val="558"/>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（2）学校章程及制定的各项规章制度</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宋体" w:cs="宋体"/>
                <w:kern w:val="0"/>
                <w:sz w:val="24"/>
                <w:szCs w:val="24"/>
              </w:rPr>
            </w:pPr>
          </w:p>
        </w:tc>
      </w:tr>
      <w:tr w:rsidR="00D07734" w:rsidRPr="00D07734" w:rsidTr="008921B9">
        <w:trPr>
          <w:trHeight w:val="558"/>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（3）教职工代表大会相关制度、工作报告</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《学校教职工代表大会规定》（教育部令第32号）</w:t>
            </w:r>
          </w:p>
        </w:tc>
        <w:tc>
          <w:tcPr>
            <w:tcW w:w="1751" w:type="dxa"/>
            <w:vMerge w:val="restart"/>
            <w:vAlign w:val="center"/>
            <w:hideMark/>
          </w:tcPr>
          <w:p w:rsidR="00D07734" w:rsidRPr="00487D85" w:rsidRDefault="00D07734" w:rsidP="004A36A1">
            <w:pPr>
              <w:widowControl/>
              <w:spacing w:line="400" w:lineRule="exact"/>
              <w:rPr>
                <w:rFonts w:ascii="仿宋_GB2312" w:eastAsia="仿宋_GB2312" w:hAnsi="宋体" w:cs="宋体"/>
                <w:kern w:val="0"/>
                <w:sz w:val="24"/>
                <w:szCs w:val="24"/>
              </w:rPr>
            </w:pPr>
            <w:r w:rsidRPr="00D07734">
              <w:rPr>
                <w:rFonts w:ascii="仿宋_GB2312" w:eastAsia="仿宋_GB2312" w:hAnsi="宋体" w:cs="宋体" w:hint="eastAsia"/>
                <w:kern w:val="0"/>
                <w:sz w:val="24"/>
                <w:szCs w:val="24"/>
              </w:rPr>
              <w:t>校工会</w:t>
            </w:r>
          </w:p>
          <w:p w:rsidR="00D07734" w:rsidRPr="00D07734" w:rsidRDefault="00D07734" w:rsidP="004A36A1">
            <w:pPr>
              <w:widowControl/>
              <w:spacing w:line="400" w:lineRule="exact"/>
              <w:rPr>
                <w:rFonts w:ascii="仿宋_GB2312" w:eastAsia="仿宋_GB2312" w:hAnsi="宋体" w:cs="宋体"/>
                <w:kern w:val="0"/>
                <w:sz w:val="24"/>
                <w:szCs w:val="24"/>
              </w:rPr>
            </w:pPr>
            <w:r w:rsidRPr="00487D85">
              <w:rPr>
                <w:rFonts w:ascii="仿宋_GB2312" w:eastAsia="仿宋_GB2312" w:hAnsi="宋体" w:cs="宋体" w:hint="eastAsia"/>
                <w:kern w:val="0"/>
                <w:sz w:val="24"/>
                <w:szCs w:val="24"/>
              </w:rPr>
              <w:t>校学术委员会及秘书处</w:t>
            </w:r>
          </w:p>
        </w:tc>
      </w:tr>
      <w:tr w:rsidR="00D07734" w:rsidRPr="00D07734" w:rsidTr="008921B9">
        <w:trPr>
          <w:trHeight w:val="558"/>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（4）学术委员会相关制度、年度报告</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《高等学校学术委员会规程》（教育部令第35号）</w:t>
            </w:r>
          </w:p>
        </w:tc>
        <w:tc>
          <w:tcPr>
            <w:tcW w:w="1751" w:type="dxa"/>
            <w:vMerge/>
            <w:vAlign w:val="center"/>
            <w:hideMark/>
          </w:tcPr>
          <w:p w:rsidR="00D07734" w:rsidRPr="00D07734" w:rsidRDefault="00D07734" w:rsidP="004A36A1">
            <w:pPr>
              <w:widowControl/>
              <w:spacing w:line="400" w:lineRule="exact"/>
              <w:rPr>
                <w:rFonts w:ascii="仿宋_GB2312" w:eastAsia="仿宋_GB2312" w:hAnsi="宋体" w:cs="宋体"/>
                <w:kern w:val="0"/>
                <w:sz w:val="24"/>
                <w:szCs w:val="24"/>
              </w:rPr>
            </w:pPr>
          </w:p>
        </w:tc>
      </w:tr>
      <w:tr w:rsidR="00D07734" w:rsidRPr="00D07734" w:rsidTr="008921B9">
        <w:trPr>
          <w:trHeight w:val="558"/>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（5）学校发展规划、年度工作计划及重点工作安排</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tc>
        <w:tc>
          <w:tcPr>
            <w:tcW w:w="1751" w:type="dxa"/>
            <w:vAlign w:val="center"/>
            <w:hideMark/>
          </w:tcPr>
          <w:p w:rsidR="008921B9" w:rsidRDefault="008921B9"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发展规划处</w:t>
            </w:r>
          </w:p>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党委办公室</w:t>
            </w:r>
          </w:p>
          <w:p w:rsidR="00D07734" w:rsidRPr="00D07734" w:rsidRDefault="00D07734" w:rsidP="008921B9">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校长办公室</w:t>
            </w:r>
          </w:p>
        </w:tc>
      </w:tr>
      <w:tr w:rsidR="00D07734" w:rsidRPr="00D07734" w:rsidTr="008921B9">
        <w:trPr>
          <w:trHeight w:val="63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（6）信息公开年度报告</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《教育部办公厅关于做好2012-2013学年度高校信息公开年度报告工作的通知》（教办厅函〔2013〕48号）</w:t>
            </w:r>
          </w:p>
        </w:tc>
        <w:tc>
          <w:tcPr>
            <w:tcW w:w="1751" w:type="dxa"/>
            <w:vAlign w:val="center"/>
            <w:hideMark/>
          </w:tcPr>
          <w:p w:rsidR="004B2D19" w:rsidRPr="00D07734" w:rsidRDefault="00D07734"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校长办公室</w:t>
            </w:r>
          </w:p>
        </w:tc>
      </w:tr>
      <w:tr w:rsidR="00D07734" w:rsidRPr="00D07734" w:rsidTr="008921B9">
        <w:trPr>
          <w:trHeight w:val="645"/>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w:t>
            </w:r>
          </w:p>
        </w:tc>
        <w:tc>
          <w:tcPr>
            <w:tcW w:w="1394" w:type="dxa"/>
            <w:vMerge w:val="restart"/>
            <w:vAlign w:val="center"/>
            <w:hideMark/>
          </w:tcPr>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招生考试信息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（8项）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（7）招生章程及特殊类型招生办法，分批次、分科类招生计划</w:t>
            </w:r>
          </w:p>
        </w:tc>
        <w:tc>
          <w:tcPr>
            <w:tcW w:w="5410" w:type="dxa"/>
            <w:vMerge w:val="restart"/>
            <w:vAlign w:val="center"/>
            <w:hideMark/>
          </w:tcPr>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《国务院办公厅关于印发当前政府信息公开重点工作安排的通知》（国办发〔2013〕73号）</w:t>
            </w:r>
          </w:p>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《教育部关于进一步推进高校招生信息公开工作的通知》（教学函〔2013〕9号）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《普通高等学校招生违规行为处理暂行办法》（教</w:t>
            </w:r>
            <w:r w:rsidRPr="00D07734">
              <w:rPr>
                <w:rFonts w:ascii="仿宋_GB2312" w:eastAsia="仿宋_GB2312" w:hAnsi="Times New Roman" w:cs="Times New Roman" w:hint="eastAsia"/>
                <w:kern w:val="0"/>
                <w:sz w:val="24"/>
                <w:szCs w:val="24"/>
              </w:rPr>
              <w:lastRenderedPageBreak/>
              <w:t>育部令第36号）</w:t>
            </w:r>
          </w:p>
        </w:tc>
        <w:tc>
          <w:tcPr>
            <w:tcW w:w="1751" w:type="dxa"/>
            <w:vMerge w:val="restart"/>
            <w:vAlign w:val="center"/>
            <w:hideMark/>
          </w:tcPr>
          <w:p w:rsidR="00D07734" w:rsidRPr="00487D85" w:rsidRDefault="00D07734"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lastRenderedPageBreak/>
              <w:t>招生办公室</w:t>
            </w:r>
          </w:p>
          <w:p w:rsid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研究生院</w:t>
            </w:r>
          </w:p>
          <w:p w:rsidR="008C3552" w:rsidRPr="00D07734" w:rsidRDefault="008C3552"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继续教育学院</w:t>
            </w: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（8）保送、自主选拔录取、高水平运动员和艺术特长生招生等特殊类型招生入选考生资格及测试结果</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（9）考生个人录取信息查询渠道和办法，分批次、分科类录取人数和录取最低分</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（10）招生咨询及考生申诉渠道，新生复查期间有关举报、调查及处理结果</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（11）研究生招生简章、招生专业目录、复试录取办法，各院（系、所）或学科、专业招收研究生人数</w:t>
            </w:r>
          </w:p>
        </w:tc>
        <w:tc>
          <w:tcPr>
            <w:tcW w:w="5410"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《教育部关于做好2014年全国硕士学位研究生招生工作的通知》（教学〔2013〕12号）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《教育部办公厅关于做好2014年硕士学位研究生招生考试执法监督工作的通知》（教监厅〔2013〕2号）</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3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（12）参加研究生复试的考生成绩</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3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（13）拟录取研究生名单</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2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（14）研究生招生咨询及申诉渠道</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642"/>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w:t>
            </w:r>
          </w:p>
        </w:tc>
        <w:tc>
          <w:tcPr>
            <w:tcW w:w="1394"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财务、资产及收费信息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（7项）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（15）财务、资产管理制度</w:t>
            </w:r>
          </w:p>
        </w:tc>
        <w:tc>
          <w:tcPr>
            <w:tcW w:w="541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 xml:space="preserve">《高等学校信息公开办法》（教育部令第29号） </w:t>
            </w:r>
          </w:p>
        </w:tc>
        <w:tc>
          <w:tcPr>
            <w:tcW w:w="1751" w:type="dxa"/>
            <w:vMerge w:val="restart"/>
            <w:vAlign w:val="center"/>
            <w:hideMark/>
          </w:tcPr>
          <w:p w:rsid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财务处</w:t>
            </w:r>
          </w:p>
          <w:p w:rsidR="00BA0C20" w:rsidRPr="00487D85" w:rsidRDefault="00BA0C20"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校友工作办公室</w:t>
            </w:r>
          </w:p>
          <w:p w:rsidR="00A076F6"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国有资产管理处</w:t>
            </w:r>
          </w:p>
          <w:p w:rsidR="001307C0" w:rsidRDefault="001307C0"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图书馆</w:t>
            </w:r>
          </w:p>
          <w:p w:rsidR="001307C0" w:rsidRPr="00D07734" w:rsidRDefault="001307C0"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校医院</w:t>
            </w:r>
          </w:p>
        </w:tc>
      </w:tr>
      <w:tr w:rsidR="00D07734" w:rsidRPr="00D07734" w:rsidTr="008921B9">
        <w:trPr>
          <w:trHeight w:val="64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（16）受捐赠财产的使用与管理情况</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64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（17）校办企业资产、负债、国有资产保值增值等信息</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64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（18）仪器设备、图书、药品等物资设备采购和重大基建工程的招投标</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114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（19）收支预算总表、收入预算表、支出预算表、财政拨款支出预算表</w:t>
            </w:r>
          </w:p>
        </w:tc>
        <w:tc>
          <w:tcPr>
            <w:tcW w:w="5410"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《国务院办公厅关于印发当前政府信息公开重点工作安排的通知》（国办发〔2013〕73号）</w:t>
            </w:r>
          </w:p>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《教育部关于做好高等学校财务信息公开工作的通知》（教财〔2012〕4号）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《教育部关于进一步做好高等学校财务信息公开工作的通知》（教财函〔2013〕96号）</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106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（20）收支决算总表、收入决算表、支出决算表、财政拨款支出决算表</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4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（21）收费项目、收费依据、收费标准及投诉方式</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 xml:space="preserve">《高等学校信息公开办法》（教育部令第29号） </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02"/>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lastRenderedPageBreak/>
              <w:t>4</w:t>
            </w:r>
          </w:p>
        </w:tc>
        <w:tc>
          <w:tcPr>
            <w:tcW w:w="1394"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人事师资信息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（5项）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（22）校级领导干部社会兼职情况</w:t>
            </w:r>
          </w:p>
        </w:tc>
        <w:tc>
          <w:tcPr>
            <w:tcW w:w="5410"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《中共教育部党组关于进一步加强直属高校学校领导班子建设的若干意见》（教党〔2013〕39号）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《中共教育部党组关于进一步加强直属高校党员领导干部兼职管理的通知》（教党〔2011〕22号）</w:t>
            </w:r>
          </w:p>
        </w:tc>
        <w:tc>
          <w:tcPr>
            <w:tcW w:w="1751" w:type="dxa"/>
            <w:vMerge w:val="restart"/>
            <w:vAlign w:val="center"/>
            <w:hideMark/>
          </w:tcPr>
          <w:p w:rsidR="00D07734" w:rsidRPr="00487D85"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党委办公室</w:t>
            </w:r>
          </w:p>
          <w:p w:rsidR="00A076F6"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校长办公室</w:t>
            </w:r>
          </w:p>
          <w:p w:rsidR="001307C0" w:rsidRDefault="001307C0"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国际合作与交流处</w:t>
            </w:r>
          </w:p>
          <w:p w:rsidR="00A076F6" w:rsidRPr="00487D85"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党委组织部</w:t>
            </w:r>
          </w:p>
          <w:p w:rsidR="00A076F6"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校工会</w:t>
            </w:r>
          </w:p>
          <w:p w:rsidR="00E37335" w:rsidRPr="00D07734" w:rsidRDefault="00E37335"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人事处</w:t>
            </w: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（23）校级领导干部因公出国（境）情况</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07"/>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（24）岗位设置管理与聘用办法</w:t>
            </w:r>
          </w:p>
        </w:tc>
        <w:tc>
          <w:tcPr>
            <w:tcW w:w="5410" w:type="dxa"/>
            <w:vMerge w:val="restart"/>
            <w:vAlign w:val="center"/>
            <w:hideMark/>
          </w:tcPr>
          <w:p w:rsidR="001E1760"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1E1760"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《党政领导干部选拔任用工作条例》</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《事业单位公开招聘人员暂行规定》（人事部令第6号）</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57"/>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（25）校内中层干部任免、人员招聘信息</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51"/>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（26）教职工争议解决办法</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70"/>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5</w:t>
            </w:r>
          </w:p>
        </w:tc>
        <w:tc>
          <w:tcPr>
            <w:tcW w:w="1394"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教学质量信息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（9项）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（27）本科生占全日制在校生总数的比例、教师数量及结构</w:t>
            </w:r>
          </w:p>
        </w:tc>
        <w:tc>
          <w:tcPr>
            <w:tcW w:w="5410"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《国家中长期教育改革和发展规划纲要（2010-2020年）》</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《教育部办公厅关于普通高等学校编制发布2012年&lt;本科教学质量报告&gt;的通知》(教高厅函〔2013〕33号)</w:t>
            </w:r>
          </w:p>
        </w:tc>
        <w:tc>
          <w:tcPr>
            <w:tcW w:w="1751" w:type="dxa"/>
            <w:vMerge w:val="restart"/>
            <w:vAlign w:val="center"/>
            <w:hideMark/>
          </w:tcPr>
          <w:p w:rsidR="00A076F6" w:rsidRP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教务处</w:t>
            </w:r>
          </w:p>
        </w:tc>
      </w:tr>
      <w:tr w:rsidR="00D07734" w:rsidRPr="00D07734" w:rsidTr="008921B9">
        <w:trPr>
          <w:trHeight w:val="58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（28）专业设置、当年新增专业、停招专业名单</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69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（29）全校开设课程总门数、实践教学学分占总学分比例、选修课学分占总学分比例</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85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（30）主讲本科课程的教授占教授总数的比例、教授授本科课程占课程总门次数的比例</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5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（31）促进毕业生就业的政策措施和指导服务</w:t>
            </w:r>
          </w:p>
        </w:tc>
        <w:tc>
          <w:tcPr>
            <w:tcW w:w="5410" w:type="dxa"/>
            <w:vMerge w:val="restart"/>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《教育部办公厅关于编制发布高校毕业生就业质量年度报告的通知》(教学厅函〔2013〕25号)</w:t>
            </w:r>
          </w:p>
        </w:tc>
        <w:tc>
          <w:tcPr>
            <w:tcW w:w="1751" w:type="dxa"/>
            <w:vMerge w:val="restart"/>
            <w:vAlign w:val="center"/>
            <w:hideMark/>
          </w:tcPr>
          <w:p w:rsidR="00D07734" w:rsidRPr="00D07734" w:rsidRDefault="00487D85"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就业创业指导服务中心</w:t>
            </w:r>
          </w:p>
        </w:tc>
      </w:tr>
      <w:tr w:rsidR="00D07734" w:rsidRPr="00D07734" w:rsidTr="008921B9">
        <w:trPr>
          <w:trHeight w:val="58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（32）毕业生的规模、结构、就业率、就业流向</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1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（33）高校毕业生就业质量年度报告</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16"/>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（34）艺术教育发展年度报告</w:t>
            </w:r>
          </w:p>
        </w:tc>
        <w:tc>
          <w:tcPr>
            <w:tcW w:w="5410" w:type="dxa"/>
            <w:vAlign w:val="center"/>
            <w:hideMark/>
          </w:tcPr>
          <w:p w:rsidR="00A076F6"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《学校艺术教育工作规程》（教育部令13号）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《教育部关于推进学校艺术教育发展的若干意见》（教体艺〔2014〕1号）</w:t>
            </w:r>
          </w:p>
        </w:tc>
        <w:tc>
          <w:tcPr>
            <w:tcW w:w="1751" w:type="dxa"/>
            <w:vAlign w:val="center"/>
            <w:hideMark/>
          </w:tcPr>
          <w:p w:rsidR="00D07734" w:rsidRP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校艺委</w:t>
            </w:r>
          </w:p>
        </w:tc>
      </w:tr>
      <w:tr w:rsidR="00D07734" w:rsidRPr="00D07734" w:rsidTr="008921B9">
        <w:trPr>
          <w:trHeight w:val="87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（35）本科教学质量报告</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《教育部办公厅关于普通高等学校编制发布2012年&lt;本科教学质量报告&gt;的通知》(教高厅函〔2013〕33号)</w:t>
            </w:r>
          </w:p>
        </w:tc>
        <w:tc>
          <w:tcPr>
            <w:tcW w:w="1751" w:type="dxa"/>
            <w:vAlign w:val="center"/>
            <w:hideMark/>
          </w:tcPr>
          <w:p w:rsidR="00D07734" w:rsidRP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教务处</w:t>
            </w:r>
          </w:p>
        </w:tc>
      </w:tr>
      <w:tr w:rsidR="00D07734" w:rsidRPr="00D07734" w:rsidTr="008921B9">
        <w:trPr>
          <w:trHeight w:val="702"/>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6</w:t>
            </w:r>
          </w:p>
        </w:tc>
        <w:tc>
          <w:tcPr>
            <w:tcW w:w="1394"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学生管理服务信息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（36）学籍管理办法</w:t>
            </w:r>
          </w:p>
        </w:tc>
        <w:tc>
          <w:tcPr>
            <w:tcW w:w="541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tc>
        <w:tc>
          <w:tcPr>
            <w:tcW w:w="1751" w:type="dxa"/>
            <w:vMerge w:val="restart"/>
            <w:vAlign w:val="center"/>
            <w:hideMark/>
          </w:tcPr>
          <w:p w:rsidR="00C777F4" w:rsidRDefault="00C777F4" w:rsidP="004A36A1">
            <w:pPr>
              <w:widowControl/>
              <w:spacing w:line="400" w:lineRule="exact"/>
              <w:rPr>
                <w:rFonts w:ascii="仿宋_GB2312" w:eastAsia="仿宋_GB2312" w:hAnsi="Times New Roman" w:cs="Times New Roman" w:hint="eastAsia"/>
                <w:kern w:val="0"/>
                <w:sz w:val="24"/>
                <w:szCs w:val="24"/>
              </w:rPr>
            </w:pPr>
            <w:r>
              <w:rPr>
                <w:rFonts w:ascii="仿宋_GB2312" w:eastAsia="仿宋_GB2312" w:hAnsi="Times New Roman" w:cs="Times New Roman" w:hint="eastAsia"/>
                <w:kern w:val="0"/>
                <w:sz w:val="24"/>
                <w:szCs w:val="24"/>
              </w:rPr>
              <w:t>教务处</w:t>
            </w:r>
          </w:p>
          <w:p w:rsidR="00D07734" w:rsidRPr="00D07734" w:rsidRDefault="00A076F6"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学生处</w:t>
            </w:r>
          </w:p>
        </w:tc>
      </w:tr>
      <w:tr w:rsidR="00D07734" w:rsidRPr="00D07734" w:rsidTr="008921B9">
        <w:trPr>
          <w:trHeight w:val="70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（37）学生奖学金、助学金、学费减免、助学贷款、勤工俭学的申请与管理规定</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552"/>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（38）学生奖励处罚办法</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《普通高等学校学生管理规定》（教育部令第21号）</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0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（39）学生申诉办法</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401"/>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7</w:t>
            </w:r>
          </w:p>
        </w:tc>
        <w:tc>
          <w:tcPr>
            <w:tcW w:w="1394"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学风建设信息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（3项）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（40）学风建设机构</w:t>
            </w:r>
          </w:p>
        </w:tc>
        <w:tc>
          <w:tcPr>
            <w:tcW w:w="541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《教育部关于切实加强和改进高等学校学风建设的实施意见》（教技〔2011〕1号）</w:t>
            </w:r>
          </w:p>
        </w:tc>
        <w:tc>
          <w:tcPr>
            <w:tcW w:w="1751" w:type="dxa"/>
            <w:vMerge w:val="restart"/>
            <w:vAlign w:val="center"/>
            <w:hideMark/>
          </w:tcPr>
          <w:p w:rsidR="00E37335" w:rsidRDefault="00A00364" w:rsidP="004A36A1">
            <w:pPr>
              <w:widowControl/>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党委学工部</w:t>
            </w:r>
          </w:p>
          <w:p w:rsidR="00E37335" w:rsidRPr="00D07734" w:rsidRDefault="00A00364" w:rsidP="004A36A1">
            <w:pPr>
              <w:widowControl/>
              <w:spacing w:line="400" w:lineRule="exact"/>
              <w:rPr>
                <w:rFonts w:ascii="仿宋_GB2312" w:eastAsia="仿宋_GB2312" w:hAnsi="宋体" w:cs="宋体"/>
                <w:kern w:val="0"/>
                <w:sz w:val="24"/>
                <w:szCs w:val="24"/>
              </w:rPr>
            </w:pPr>
            <w:r>
              <w:rPr>
                <w:rFonts w:ascii="仿宋_GB2312" w:eastAsia="仿宋_GB2312" w:hAnsi="宋体" w:cs="宋体" w:hint="eastAsia"/>
                <w:kern w:val="0"/>
                <w:sz w:val="24"/>
                <w:szCs w:val="24"/>
              </w:rPr>
              <w:t>校学术委员会及秘书处</w:t>
            </w:r>
          </w:p>
        </w:tc>
      </w:tr>
      <w:tr w:rsidR="00D07734" w:rsidRPr="00D07734" w:rsidTr="008921B9">
        <w:trPr>
          <w:trHeight w:val="381"/>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（41）学术规范制度</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宋体" w:cs="宋体"/>
                <w:kern w:val="0"/>
                <w:sz w:val="24"/>
                <w:szCs w:val="24"/>
              </w:rPr>
            </w:pPr>
          </w:p>
        </w:tc>
      </w:tr>
      <w:tr w:rsidR="00D07734" w:rsidRPr="00D07734" w:rsidTr="008921B9">
        <w:trPr>
          <w:trHeight w:val="58"/>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（42）学术不端行为查处机制</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宋体" w:cs="宋体"/>
                <w:kern w:val="0"/>
                <w:sz w:val="24"/>
                <w:szCs w:val="24"/>
              </w:rPr>
            </w:pPr>
          </w:p>
        </w:tc>
      </w:tr>
      <w:tr w:rsidR="00D07734" w:rsidRPr="00D07734" w:rsidTr="008921B9">
        <w:trPr>
          <w:trHeight w:val="900"/>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8</w:t>
            </w:r>
          </w:p>
        </w:tc>
        <w:tc>
          <w:tcPr>
            <w:tcW w:w="1394"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学位、学科信息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（43）授予博士、硕士、学士学位的基本要求</w:t>
            </w:r>
          </w:p>
        </w:tc>
        <w:tc>
          <w:tcPr>
            <w:tcW w:w="5410"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《关于进一步加强在职人员攻读硕士专业学位和授予同等学力人员硕士、博士学位管理工作的意见》（学位〔2013〕36号）</w:t>
            </w:r>
          </w:p>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《关于开展增列硕士专业学位授权点审核工作的通知》（学位〔2013〕37号）</w:t>
            </w:r>
          </w:p>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《关于委托部分学位授予单位自行审核博士学位授权一级学科点和硕士学位授权一级学科点的通知》（学位〔2010〕18号）</w:t>
            </w:r>
          </w:p>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《关于发布〈国务院学位委员会关于授予具有研究生毕业同等学力人员硕士、博士学位的规定〉的通</w:t>
            </w:r>
            <w:r w:rsidRPr="00D07734">
              <w:rPr>
                <w:rFonts w:ascii="仿宋_GB2312" w:eastAsia="仿宋_GB2312" w:hAnsi="Times New Roman" w:cs="Times New Roman" w:hint="eastAsia"/>
                <w:kern w:val="0"/>
                <w:sz w:val="24"/>
                <w:szCs w:val="24"/>
              </w:rPr>
              <w:lastRenderedPageBreak/>
              <w:t>知》（学位〔1998〕54号）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《关于启用“全国同等学力人员申请硕士学位管理工作信息平台”的通知》（学位办〔2011〕70号）</w:t>
            </w:r>
          </w:p>
        </w:tc>
        <w:tc>
          <w:tcPr>
            <w:tcW w:w="1751" w:type="dxa"/>
            <w:vMerge w:val="restart"/>
            <w:vAlign w:val="center"/>
            <w:hideMark/>
          </w:tcPr>
          <w:p w:rsidR="00487D85" w:rsidRPr="00487D85" w:rsidRDefault="00487D85"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lastRenderedPageBreak/>
              <w:t>研究生院</w:t>
            </w:r>
          </w:p>
          <w:p w:rsidR="00FC29E7" w:rsidRPr="00D07734" w:rsidRDefault="00487D85"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教务处</w:t>
            </w:r>
          </w:p>
        </w:tc>
      </w:tr>
      <w:tr w:rsidR="00D07734" w:rsidRPr="00D07734" w:rsidTr="008921B9">
        <w:trPr>
          <w:trHeight w:val="78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（44）拟授予硕士、博士学位同等学力人员资格审查和学力水平认定</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95"/>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（45）新增硕士、博士学位授权学科或专业学位授权点审核办法</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129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（46）拟新增学位授权学科或专业学位授权点的申报及论证材料</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765"/>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lastRenderedPageBreak/>
              <w:t>9</w:t>
            </w:r>
          </w:p>
        </w:tc>
        <w:tc>
          <w:tcPr>
            <w:tcW w:w="1394"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对外交流与合作信息</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（47）中外合作办学情况</w:t>
            </w:r>
          </w:p>
        </w:tc>
        <w:tc>
          <w:tcPr>
            <w:tcW w:w="5410"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《高等学校接受外国留学生管理规定》（教育部令第9号）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《教育部关于进一步加强高等学校中外合作办学质量保障工作的意见》（教外办学〔2013〕91号）</w:t>
            </w:r>
          </w:p>
        </w:tc>
        <w:tc>
          <w:tcPr>
            <w:tcW w:w="1751" w:type="dxa"/>
            <w:vMerge w:val="restart"/>
            <w:vAlign w:val="center"/>
            <w:hideMark/>
          </w:tcPr>
          <w:p w:rsidR="00D07734" w:rsidRDefault="00FC29E7"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国际合作与交流处</w:t>
            </w:r>
          </w:p>
          <w:p w:rsidR="00EE2DB6" w:rsidRPr="00D07734" w:rsidRDefault="00EE2DB6"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国际教育学院</w:t>
            </w:r>
            <w:bookmarkStart w:id="0" w:name="_GoBack"/>
            <w:bookmarkEnd w:id="0"/>
          </w:p>
        </w:tc>
      </w:tr>
      <w:tr w:rsidR="00D07734" w:rsidRPr="00D07734" w:rsidTr="008921B9">
        <w:trPr>
          <w:trHeight w:val="72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（48）来华留学生管理相关规定</w:t>
            </w:r>
          </w:p>
        </w:tc>
        <w:tc>
          <w:tcPr>
            <w:tcW w:w="541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751"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r>
      <w:tr w:rsidR="00D07734" w:rsidRPr="00D07734" w:rsidTr="008921B9">
        <w:trPr>
          <w:trHeight w:val="1200"/>
          <w:jc w:val="center"/>
        </w:trPr>
        <w:tc>
          <w:tcPr>
            <w:tcW w:w="580" w:type="dxa"/>
            <w:vMerge w:val="restart"/>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10</w:t>
            </w:r>
          </w:p>
        </w:tc>
        <w:tc>
          <w:tcPr>
            <w:tcW w:w="1394" w:type="dxa"/>
            <w:vMerge w:val="restart"/>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其他</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（2项）</w:t>
            </w: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（49）巡视组反馈意见，落实反馈意见整改情况</w:t>
            </w:r>
          </w:p>
        </w:tc>
        <w:tc>
          <w:tcPr>
            <w:tcW w:w="5410" w:type="dxa"/>
            <w:vAlign w:val="center"/>
            <w:hideMark/>
          </w:tcPr>
          <w:p w:rsidR="00FC29E7" w:rsidRPr="00487D85"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《中共中央关于印发〈中国共产党巡视工作条例（试行）〉的通知》（中发〔2009〕7号）</w:t>
            </w:r>
          </w:p>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《中共教育部党组关于进一步加强和改进巡视工作的意见》（教党〔2013〕3号）</w:t>
            </w:r>
          </w:p>
        </w:tc>
        <w:tc>
          <w:tcPr>
            <w:tcW w:w="1751" w:type="dxa"/>
            <w:vAlign w:val="center"/>
            <w:hideMark/>
          </w:tcPr>
          <w:p w:rsidR="00D07734" w:rsidRPr="00487D85" w:rsidRDefault="00FC29E7"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党委办公室</w:t>
            </w:r>
          </w:p>
          <w:p w:rsidR="00FC29E7" w:rsidRPr="00D07734" w:rsidRDefault="00FC29E7"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纪委</w:t>
            </w:r>
          </w:p>
        </w:tc>
      </w:tr>
      <w:tr w:rsidR="00D07734" w:rsidRPr="00D07734" w:rsidTr="008921B9">
        <w:trPr>
          <w:trHeight w:val="960"/>
          <w:jc w:val="center"/>
        </w:trPr>
        <w:tc>
          <w:tcPr>
            <w:tcW w:w="580"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1394" w:type="dxa"/>
            <w:vMerge/>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p>
        </w:tc>
        <w:tc>
          <w:tcPr>
            <w:tcW w:w="5505"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（50）自然灾害等突发事件的应急处理预案、预警信息和处置情况，涉及学校的重大事件的调查和处理情况</w:t>
            </w:r>
          </w:p>
        </w:tc>
        <w:tc>
          <w:tcPr>
            <w:tcW w:w="5410" w:type="dxa"/>
            <w:vAlign w:val="center"/>
            <w:hideMark/>
          </w:tcPr>
          <w:p w:rsidR="00D07734" w:rsidRPr="00D07734" w:rsidRDefault="00D07734" w:rsidP="004A36A1">
            <w:pPr>
              <w:widowControl/>
              <w:spacing w:line="400" w:lineRule="exact"/>
              <w:rPr>
                <w:rFonts w:ascii="仿宋_GB2312" w:eastAsia="仿宋_GB2312" w:hAnsi="Times New Roman" w:cs="Times New Roman"/>
                <w:kern w:val="0"/>
                <w:sz w:val="24"/>
                <w:szCs w:val="24"/>
              </w:rPr>
            </w:pPr>
            <w:r w:rsidRPr="00D07734">
              <w:rPr>
                <w:rFonts w:ascii="仿宋_GB2312" w:eastAsia="仿宋_GB2312" w:hAnsi="Times New Roman" w:cs="Times New Roman" w:hint="eastAsia"/>
                <w:kern w:val="0"/>
                <w:sz w:val="24"/>
                <w:szCs w:val="24"/>
              </w:rPr>
              <w:t>《高等学校信息公开办法》（教育部令第29号）</w:t>
            </w:r>
          </w:p>
        </w:tc>
        <w:tc>
          <w:tcPr>
            <w:tcW w:w="1751" w:type="dxa"/>
            <w:vAlign w:val="center"/>
            <w:hideMark/>
          </w:tcPr>
          <w:p w:rsidR="00C46B0F" w:rsidRDefault="00C46B0F" w:rsidP="004A36A1">
            <w:pPr>
              <w:widowControl/>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党委办公室</w:t>
            </w:r>
          </w:p>
          <w:p w:rsidR="00D07734" w:rsidRPr="00D07734" w:rsidRDefault="00FC29E7" w:rsidP="004A36A1">
            <w:pPr>
              <w:widowControl/>
              <w:spacing w:line="400" w:lineRule="exact"/>
              <w:rPr>
                <w:rFonts w:ascii="仿宋_GB2312" w:eastAsia="仿宋_GB2312" w:hAnsi="Times New Roman" w:cs="Times New Roman"/>
                <w:kern w:val="0"/>
                <w:sz w:val="24"/>
                <w:szCs w:val="24"/>
              </w:rPr>
            </w:pPr>
            <w:r w:rsidRPr="00487D85">
              <w:rPr>
                <w:rFonts w:ascii="仿宋_GB2312" w:eastAsia="仿宋_GB2312" w:hAnsi="Times New Roman" w:cs="Times New Roman" w:hint="eastAsia"/>
                <w:kern w:val="0"/>
                <w:sz w:val="24"/>
                <w:szCs w:val="24"/>
              </w:rPr>
              <w:t>校长办公室</w:t>
            </w:r>
          </w:p>
        </w:tc>
      </w:tr>
    </w:tbl>
    <w:p w:rsidR="00D07734" w:rsidRDefault="00D07734"/>
    <w:sectPr w:rsidR="00D07734" w:rsidSect="00FA664B">
      <w:pgSz w:w="16838" w:h="11906" w:orient="landscape"/>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0E" w:rsidRDefault="0062320E" w:rsidP="00D07734">
      <w:r>
        <w:separator/>
      </w:r>
    </w:p>
  </w:endnote>
  <w:endnote w:type="continuationSeparator" w:id="1">
    <w:p w:rsidR="0062320E" w:rsidRDefault="0062320E" w:rsidP="00D077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0E" w:rsidRDefault="0062320E" w:rsidP="00D07734">
      <w:r>
        <w:separator/>
      </w:r>
    </w:p>
  </w:footnote>
  <w:footnote w:type="continuationSeparator" w:id="1">
    <w:p w:rsidR="0062320E" w:rsidRDefault="0062320E" w:rsidP="00D07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734"/>
    <w:rsid w:val="00095671"/>
    <w:rsid w:val="001307C0"/>
    <w:rsid w:val="001E1760"/>
    <w:rsid w:val="001F6F5A"/>
    <w:rsid w:val="00357F67"/>
    <w:rsid w:val="00487D85"/>
    <w:rsid w:val="004A36A1"/>
    <w:rsid w:val="004B2D19"/>
    <w:rsid w:val="00526FB2"/>
    <w:rsid w:val="005C1967"/>
    <w:rsid w:val="0062320E"/>
    <w:rsid w:val="00645BD2"/>
    <w:rsid w:val="0065106D"/>
    <w:rsid w:val="008921B9"/>
    <w:rsid w:val="008C3552"/>
    <w:rsid w:val="0099676E"/>
    <w:rsid w:val="00A00364"/>
    <w:rsid w:val="00A076F6"/>
    <w:rsid w:val="00A2342E"/>
    <w:rsid w:val="00A82465"/>
    <w:rsid w:val="00AD1E46"/>
    <w:rsid w:val="00BA0C20"/>
    <w:rsid w:val="00C46B0F"/>
    <w:rsid w:val="00C777F4"/>
    <w:rsid w:val="00C911CA"/>
    <w:rsid w:val="00D07734"/>
    <w:rsid w:val="00DD7251"/>
    <w:rsid w:val="00E153E8"/>
    <w:rsid w:val="00E37335"/>
    <w:rsid w:val="00E8367E"/>
    <w:rsid w:val="00ED090E"/>
    <w:rsid w:val="00ED530F"/>
    <w:rsid w:val="00EE2DB6"/>
    <w:rsid w:val="00F861ED"/>
    <w:rsid w:val="00FA664B"/>
    <w:rsid w:val="00FC29E7"/>
    <w:rsid w:val="00FF16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7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7734"/>
    <w:rPr>
      <w:sz w:val="18"/>
      <w:szCs w:val="18"/>
    </w:rPr>
  </w:style>
  <w:style w:type="paragraph" w:styleId="a4">
    <w:name w:val="footer"/>
    <w:basedOn w:val="a"/>
    <w:link w:val="Char0"/>
    <w:uiPriority w:val="99"/>
    <w:semiHidden/>
    <w:unhideWhenUsed/>
    <w:rsid w:val="00D077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7734"/>
    <w:rPr>
      <w:sz w:val="18"/>
      <w:szCs w:val="18"/>
    </w:rPr>
  </w:style>
  <w:style w:type="table" w:styleId="a5">
    <w:name w:val="Table Grid"/>
    <w:basedOn w:val="a1"/>
    <w:uiPriority w:val="59"/>
    <w:rsid w:val="004A36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17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511</Words>
  <Characters>2918</Characters>
  <Application>Microsoft Office Word</Application>
  <DocSecurity>0</DocSecurity>
  <Lines>24</Lines>
  <Paragraphs>6</Paragraphs>
  <ScaleCrop>false</ScaleCrop>
  <Company>微软中国</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23</cp:revision>
  <dcterms:created xsi:type="dcterms:W3CDTF">2016-11-09T02:41:00Z</dcterms:created>
  <dcterms:modified xsi:type="dcterms:W3CDTF">2016-11-10T03:02:00Z</dcterms:modified>
</cp:coreProperties>
</file>