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2D" w:rsidRDefault="008C7A2D" w:rsidP="008C7A2D">
      <w:pPr>
        <w:widowControl/>
        <w:shd w:val="clear" w:color="auto" w:fill="FFFFFF"/>
        <w:spacing w:line="495" w:lineRule="exact"/>
        <w:ind w:firstLine="300"/>
        <w:jc w:val="center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关于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—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2021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学年第二学期排课工作的通知</w:t>
      </w:r>
    </w:p>
    <w:p w:rsidR="008C7A2D" w:rsidRDefault="008C7A2D" w:rsidP="008C7A2D">
      <w:pPr>
        <w:widowControl/>
        <w:shd w:val="clear" w:color="auto" w:fill="FFFFFF"/>
        <w:spacing w:line="495" w:lineRule="exact"/>
        <w:ind w:firstLine="30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C7A2D" w:rsidRPr="008C7A2D" w:rsidRDefault="008C7A2D" w:rsidP="008C7A2D">
      <w:pPr>
        <w:widowControl/>
        <w:shd w:val="clear" w:color="auto" w:fill="FFFFFF"/>
        <w:spacing w:line="495" w:lineRule="exac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各教学单位：</w:t>
      </w:r>
    </w:p>
    <w:p w:rsidR="008C7A2D" w:rsidRPr="008C7A2D" w:rsidRDefault="00114DE5" w:rsidP="008C7A2D">
      <w:pPr>
        <w:widowControl/>
        <w:shd w:val="clear" w:color="auto" w:fill="FFFFFF"/>
        <w:spacing w:line="495" w:lineRule="exact"/>
        <w:ind w:firstLine="52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 w:rsidR="008C7A2D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—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2021</w:t>
      </w:r>
      <w:r w:rsid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学年第二</w:t>
      </w:r>
      <w:r w:rsidR="008C7A2D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学期的排课工作即将开始，现将本次排课流程、时间安排及注意事项通知如下：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Chars="196" w:firstLine="571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一、排课流程和时间安排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1、录入新增课程（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月</w:t>
      </w:r>
      <w:r w:rsidR="000651E6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5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日之前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）</w:t>
      </w:r>
    </w:p>
    <w:p w:rsidR="008C7A2D" w:rsidRPr="008C7A2D" w:rsidRDefault="008C7A2D" w:rsidP="00BF1D23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各学院按</w:t>
      </w:r>
      <w:r w:rsidR="000964A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2017</w:t>
      </w:r>
      <w:proofErr w:type="gramStart"/>
      <w:r w:rsidR="000964A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版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培养</w:t>
      </w:r>
      <w:proofErr w:type="gramEnd"/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方案将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</w:t>
      </w:r>
      <w:r w:rsidR="004A46C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7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 w:rsidR="00835E3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、2018级未录入系统的新</w:t>
      </w:r>
      <w:r w:rsidR="004A46C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增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课程录入系统</w:t>
      </w:r>
      <w:r w:rsidR="004A46C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</w:t>
      </w:r>
      <w:r w:rsidR="00F976CA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按</w:t>
      </w:r>
      <w:r w:rsidR="00F976CA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2019级培养方案</w:t>
      </w:r>
      <w:r w:rsidR="00F976CA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录入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9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 w:rsidR="00835E3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、2020级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第</w:t>
      </w:r>
      <w:r w:rsidR="000964A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</w:t>
      </w:r>
      <w:r w:rsidR="004A46C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-8</w:t>
      </w:r>
      <w:r w:rsidR="000964A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学期</w:t>
      </w:r>
      <w:r w:rsidR="004A46C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新增</w:t>
      </w:r>
      <w:r w:rsidR="000964A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课程</w:t>
      </w:r>
      <w:r w:rsidR="00835E3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</w:t>
      </w:r>
      <w:r w:rsidR="0001445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中英文名称均要录入</w:t>
      </w:r>
      <w:r w:rsidR="00835E3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</w:t>
      </w:r>
      <w:r w:rsidR="004A46C6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培养方案以教学院长提供的为准</w:t>
      </w:r>
      <w:r w:rsidR="0001445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录入新课方式：以承担单位身份进入，主控界面——教学计划——构建课程/环节库——录入理论课程信息（</w:t>
      </w:r>
      <w:r w:rsidRPr="008C7A2D">
        <w:rPr>
          <w:rFonts w:ascii="宋体" w:eastAsia="宋体" w:hAnsi="宋体" w:cs="宋体" w:hint="eastAsia"/>
          <w:color w:val="FF0000"/>
          <w:kern w:val="0"/>
          <w:sz w:val="29"/>
          <w:szCs w:val="29"/>
        </w:rPr>
        <w:t>特别提醒：双击下框课程列表中某一课程后，点“新增”即可录入，不得在原有课程上进行修改。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）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2、设置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2017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级、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2018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级、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2019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级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、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2020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级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专业理论课程（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9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日之前）</w:t>
      </w:r>
    </w:p>
    <w:p w:rsidR="008C7A2D" w:rsidRDefault="00BD2843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设置方式：以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教务员</w:t>
      </w:r>
      <w:proofErr w:type="gramEnd"/>
      <w:r w:rsidR="008C7A2D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身份进入，主控界面——教学计划——设置教学计划——设置专业理论课程——设置专业理论课程（按专业）</w:t>
      </w:r>
    </w:p>
    <w:p w:rsidR="00E60602" w:rsidRPr="008C7A2D" w:rsidRDefault="00E60602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各学院按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2017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版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培养</w:t>
      </w:r>
      <w:proofErr w:type="gramEnd"/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方案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设置2017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 w:rsidR="00717F3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第8学期课程</w:t>
      </w:r>
      <w:r w:rsidR="00E8715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 w:rsidR="006C7C6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修改完善</w:t>
      </w:r>
      <w:r w:rsidR="00E8715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2018级第6学期课程</w:t>
      </w:r>
      <w:r w:rsidR="00E76D24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（已复制）</w:t>
      </w:r>
      <w:r w:rsidR="006C7C6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；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按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2019级培养方案</w:t>
      </w:r>
      <w:r w:rsidR="00717F3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设置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9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 w:rsidR="00E8715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4-8学期课程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 w:rsidR="006C7C6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修改完善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2020级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第</w:t>
      </w:r>
      <w:r w:rsidR="00E8715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学期课程</w:t>
      </w:r>
      <w:r w:rsidR="00E76D24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（已复制）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3、读取教学计划（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0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日）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日教务处对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2017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级、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2018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级、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2019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教学计划进行读取，生成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—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2021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学年春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季学期各专业开课计划。提前做好教学计划审核无误的学院可提前告知进行读取。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color w:val="333333"/>
          <w:kern w:val="0"/>
          <w:sz w:val="29"/>
          <w:szCs w:val="29"/>
        </w:rPr>
        <w:t>4、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申请开课计划变更（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-11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12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日）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如开课计划有变更请于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1</w:t>
      </w:r>
      <w:r w:rsidR="00114DE5"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0</w:t>
      </w:r>
      <w:r w:rsidRPr="008C7A2D"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-</w:t>
      </w:r>
      <w:r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1</w:t>
      </w:r>
      <w:r w:rsidR="00114DE5"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2</w:t>
      </w:r>
      <w:r w:rsidRPr="008C7A2D">
        <w:rPr>
          <w:rFonts w:ascii="宋体" w:eastAsia="宋体" w:hAnsi="宋体" w:cs="宋体" w:hint="eastAsia"/>
          <w:bCs/>
          <w:color w:val="333333"/>
          <w:kern w:val="0"/>
          <w:sz w:val="29"/>
          <w:szCs w:val="29"/>
        </w:rPr>
        <w:t>日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在系统中做出申请，并填写《教学计划调整报告单》（附件1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，也可从教务处主页“下载园地”栏目中下载），之后到教务处教研室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审批并在教务管理系统中做出修改。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color w:val="333333"/>
          <w:kern w:val="0"/>
          <w:sz w:val="29"/>
          <w:szCs w:val="29"/>
        </w:rPr>
        <w:t>5、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提交公共任选课开课计划表（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114DE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10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日之前）</w:t>
      </w:r>
    </w:p>
    <w:p w:rsidR="008C7A2D" w:rsidRPr="002D736E" w:rsidRDefault="008C7A2D" w:rsidP="002D736E">
      <w:pPr>
        <w:widowControl/>
        <w:shd w:val="clear" w:color="auto" w:fill="FFFFFF"/>
        <w:spacing w:before="120" w:line="360" w:lineRule="auto"/>
        <w:ind w:firstLineChars="200" w:firstLine="580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各学院填写面向全校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2017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级、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2018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级、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2019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学生开设的公共任选课开课计划表（附件2，也可从教务处主页“下载园地”栏目中下载）于</w:t>
      </w:r>
      <w:r w:rsidR="003918D9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 w:rsidR="00114DE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10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日前交到教务处选课中心。</w:t>
      </w:r>
      <w:r w:rsidR="002D736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公共任选课设2个时间点4学时，每位教师最多只能讲授两个上课班。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6、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限选课和</w:t>
      </w:r>
      <w:proofErr w:type="gramStart"/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任</w:t>
      </w:r>
      <w:proofErr w:type="gramEnd"/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选课的预选（</w:t>
      </w:r>
      <w:r w:rsidR="003918D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3918D9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</w:t>
      </w:r>
      <w:r w:rsidR="0089616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</w:t>
      </w:r>
      <w:r w:rsidR="002D736E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之前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）</w:t>
      </w:r>
    </w:p>
    <w:p w:rsidR="008C7A2D" w:rsidRDefault="008C7A2D" w:rsidP="002D736E">
      <w:pPr>
        <w:widowControl/>
        <w:shd w:val="clear" w:color="auto" w:fill="FFFFFF"/>
        <w:spacing w:before="120" w:line="360" w:lineRule="auto"/>
        <w:ind w:firstLine="420"/>
        <w:jc w:val="left"/>
        <w:rPr>
          <w:rFonts w:ascii="宋体" w:eastAsia="宋体" w:hAnsi="宋体" w:cs="Calibri"/>
          <w:color w:val="000000"/>
          <w:kern w:val="0"/>
          <w:sz w:val="29"/>
          <w:szCs w:val="29"/>
        </w:rPr>
      </w:pPr>
      <w:r w:rsidRPr="008C7A2D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请各学院</w:t>
      </w:r>
      <w:r w:rsidR="00114DE5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组织</w:t>
      </w:r>
      <w:r w:rsidRPr="008C7A2D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对各年级所有</w:t>
      </w:r>
      <w:r w:rsidR="000964A9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选修课</w:t>
      </w:r>
      <w:r w:rsidRPr="008C7A2D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（不含公共任选课）进行</w:t>
      </w:r>
      <w:r w:rsidR="00114DE5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人工</w:t>
      </w:r>
      <w:r w:rsidRPr="008C7A2D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预选，</w:t>
      </w:r>
      <w:r w:rsidR="002D736E" w:rsidRPr="00BD48CE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预选结果的统计数据应当尽量准确，</w:t>
      </w:r>
      <w:r w:rsidR="00896165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教务系统中</w:t>
      </w:r>
      <w:r w:rsidR="002D736E" w:rsidRPr="00BD48CE">
        <w:rPr>
          <w:rFonts w:ascii="宋体" w:eastAsia="宋体" w:hAnsi="宋体" w:cs="Calibri" w:hint="eastAsia"/>
          <w:color w:val="000000"/>
          <w:kern w:val="0"/>
          <w:sz w:val="29"/>
          <w:szCs w:val="29"/>
        </w:rPr>
        <w:t>选修课教学任务的人数设置，以统计数据为参考。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Chars="200" w:firstLine="582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7、设置教学任务（</w:t>
      </w:r>
      <w:r w:rsidR="002D736E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89616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22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日之前）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在选修课预选的同时，各学院可以先做必修课的教学任务。全部的教学任务（必修课、选修课和实验课），要求在</w:t>
      </w:r>
      <w:r w:rsidR="002D73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 w:rsidR="002D73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日以前全部完成。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8、课表编排（</w:t>
      </w:r>
      <w:r w:rsidR="002D736E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89616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23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日—</w:t>
      </w:r>
      <w:r w:rsidR="00B4704E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12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月</w:t>
      </w:r>
      <w:r w:rsidR="0089616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日）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课表的编排在</w:t>
      </w:r>
      <w:r w:rsidR="00B4704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12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 w:rsidR="0089616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日之前完成，预计</w:t>
      </w:r>
      <w:r w:rsidR="00B4704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12月中旬</w:t>
      </w:r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开始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选</w:t>
      </w:r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课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。</w:t>
      </w:r>
    </w:p>
    <w:p w:rsidR="00B4704E" w:rsidRPr="00BD48CE" w:rsidRDefault="00B4704E" w:rsidP="00BF1D23">
      <w:pPr>
        <w:widowControl/>
        <w:shd w:val="clear" w:color="auto" w:fill="FFFFFF"/>
        <w:spacing w:before="120" w:line="360" w:lineRule="auto"/>
        <w:ind w:firstLineChars="100" w:firstLine="291"/>
        <w:jc w:val="left"/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</w:pPr>
      <w:r w:rsidRPr="00BD48CE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二、注意事项</w:t>
      </w:r>
    </w:p>
    <w:p w:rsidR="00B4704E" w:rsidRDefault="00B4704E" w:rsidP="006C2E96">
      <w:pPr>
        <w:widowControl/>
        <w:shd w:val="clear" w:color="auto" w:fill="FFFFFF"/>
        <w:spacing w:line="360" w:lineRule="auto"/>
        <w:ind w:firstLineChars="244" w:firstLine="708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1、下学期各个年级的公共课程：</w:t>
      </w:r>
    </w:p>
    <w:p w:rsidR="00241E7A" w:rsidRPr="005D0ACE" w:rsidRDefault="00241E7A" w:rsidP="005D0ACE">
      <w:pPr>
        <w:widowControl/>
        <w:shd w:val="clear" w:color="auto" w:fill="FFFFFF"/>
        <w:spacing w:line="360" w:lineRule="auto"/>
        <w:ind w:firstLineChars="244" w:firstLine="710"/>
        <w:jc w:val="left"/>
        <w:rPr>
          <w:rFonts w:ascii="宋体" w:eastAsia="宋体" w:hAnsi="宋体" w:cs="宋体"/>
          <w:b/>
          <w:color w:val="333333"/>
          <w:kern w:val="0"/>
          <w:sz w:val="29"/>
          <w:szCs w:val="29"/>
        </w:rPr>
      </w:pPr>
      <w:r w:rsidRPr="005D0ACE">
        <w:rPr>
          <w:rFonts w:ascii="宋体" w:eastAsia="宋体" w:hAnsi="宋体" w:cs="宋体" w:hint="eastAsia"/>
          <w:b/>
          <w:color w:val="333333"/>
          <w:kern w:val="0"/>
          <w:sz w:val="29"/>
          <w:szCs w:val="29"/>
        </w:rPr>
        <w:t>2017、2018级第6、8学期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5"/>
        <w:gridCol w:w="992"/>
        <w:gridCol w:w="2006"/>
        <w:gridCol w:w="458"/>
        <w:gridCol w:w="418"/>
        <w:gridCol w:w="416"/>
        <w:gridCol w:w="416"/>
        <w:gridCol w:w="416"/>
        <w:gridCol w:w="591"/>
        <w:gridCol w:w="1708"/>
      </w:tblGrid>
      <w:tr w:rsidR="00E11639" w:rsidRPr="005D0ACE" w:rsidTr="005D0ACE">
        <w:trPr>
          <w:trHeight w:val="240"/>
        </w:trPr>
        <w:tc>
          <w:tcPr>
            <w:tcW w:w="646" w:type="pct"/>
            <w:gridSpan w:val="2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177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总学时分配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建议修读学</w:t>
            </w: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期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备注</w:t>
            </w:r>
          </w:p>
        </w:tc>
      </w:tr>
      <w:tr w:rsidR="00E11639" w:rsidRPr="005D0ACE" w:rsidTr="005D0ACE">
        <w:trPr>
          <w:trHeight w:val="480"/>
        </w:trPr>
        <w:tc>
          <w:tcPr>
            <w:tcW w:w="646" w:type="pct"/>
            <w:gridSpan w:val="2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讲授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实践</w:t>
            </w:r>
          </w:p>
        </w:tc>
        <w:tc>
          <w:tcPr>
            <w:tcW w:w="244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41E7A" w:rsidRPr="005D0ACE" w:rsidTr="005D0ACE">
        <w:trPr>
          <w:trHeight w:val="72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必修课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通识教育平台课程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cy0100206</w:t>
            </w: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大学生职业生涯规划与就业指导</w:t>
            </w: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Career Service of College students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2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1E7A" w:rsidRPr="005D0ACE" w:rsidTr="005D0ACE">
        <w:trPr>
          <w:trHeight w:val="1240"/>
        </w:trPr>
        <w:tc>
          <w:tcPr>
            <w:tcW w:w="244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专业基础平台课程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毕业论文</w:t>
            </w: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Graduation thesis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二选</w:t>
            </w:r>
            <w:proofErr w:type="gramStart"/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，原则上工科类专业选毕业设计</w:t>
            </w:r>
          </w:p>
        </w:tc>
      </w:tr>
      <w:tr w:rsidR="0031472E" w:rsidRPr="005D0ACE" w:rsidTr="005D0ACE">
        <w:trPr>
          <w:trHeight w:val="480"/>
        </w:trPr>
        <w:tc>
          <w:tcPr>
            <w:tcW w:w="244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毕业设计</w:t>
            </w:r>
            <w:r w:rsidRPr="00241E7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Graduation Project</w:t>
            </w:r>
          </w:p>
        </w:tc>
        <w:tc>
          <w:tcPr>
            <w:tcW w:w="269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:rsidR="00241E7A" w:rsidRPr="00241E7A" w:rsidRDefault="00241E7A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36286" w:rsidRPr="005D0ACE" w:rsidTr="005D0ACE">
        <w:trPr>
          <w:trHeight w:val="480"/>
        </w:trPr>
        <w:tc>
          <w:tcPr>
            <w:tcW w:w="244" w:type="pct"/>
            <w:vMerge w:val="restar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D0AC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限选课</w:t>
            </w:r>
            <w:r w:rsidRPr="005D0ACE"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0"/>
                <w:szCs w:val="20"/>
              </w:rPr>
              <w:t>（非师范专业）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D0AC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教师教育课程模块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××学科教学设计××Teaching Design</w:t>
            </w:r>
          </w:p>
        </w:tc>
        <w:tc>
          <w:tcPr>
            <w:tcW w:w="269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5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2" w:type="pc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36286" w:rsidRPr="005D0ACE" w:rsidTr="005D0ACE">
        <w:trPr>
          <w:trHeight w:val="480"/>
        </w:trPr>
        <w:tc>
          <w:tcPr>
            <w:tcW w:w="244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中学××学科课程标准与教材研究Study on ×× Curriculum and Textbooks for Secondary School</w:t>
            </w:r>
          </w:p>
        </w:tc>
        <w:tc>
          <w:tcPr>
            <w:tcW w:w="269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2" w:type="pc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36286" w:rsidRPr="005D0ACE" w:rsidTr="005D0ACE">
        <w:trPr>
          <w:trHeight w:val="480"/>
        </w:trPr>
        <w:tc>
          <w:tcPr>
            <w:tcW w:w="244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基础教育课程改革专题Seminars on Curriculum Reform of Basic Education</w:t>
            </w:r>
          </w:p>
        </w:tc>
        <w:tc>
          <w:tcPr>
            <w:tcW w:w="269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2" w:type="pc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36286" w:rsidRPr="005D0ACE" w:rsidTr="005D0ACE">
        <w:trPr>
          <w:trHeight w:val="480"/>
        </w:trPr>
        <w:tc>
          <w:tcPr>
            <w:tcW w:w="244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jy0600406</w:t>
            </w: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教育科研方法Educational  Research Methods</w:t>
            </w:r>
          </w:p>
        </w:tc>
        <w:tc>
          <w:tcPr>
            <w:tcW w:w="269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2" w:type="pc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36286" w:rsidRPr="005D0ACE" w:rsidTr="005D0ACE">
        <w:trPr>
          <w:trHeight w:val="480"/>
        </w:trPr>
        <w:tc>
          <w:tcPr>
            <w:tcW w:w="244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中学综合实践活动设计Program of Integrated Practice in  Middle School</w:t>
            </w:r>
          </w:p>
        </w:tc>
        <w:tc>
          <w:tcPr>
            <w:tcW w:w="269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:rsidR="00C36286" w:rsidRPr="00AA21AA" w:rsidRDefault="00C36286" w:rsidP="00C362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A21A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2" w:type="pct"/>
            <w:vAlign w:val="center"/>
            <w:hideMark/>
          </w:tcPr>
          <w:p w:rsidR="00C36286" w:rsidRPr="005D0ACE" w:rsidRDefault="00C36286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814244" w:rsidRPr="005D0ACE" w:rsidTr="005D0ACE">
        <w:trPr>
          <w:trHeight w:val="480"/>
        </w:trPr>
        <w:tc>
          <w:tcPr>
            <w:tcW w:w="244" w:type="pct"/>
            <w:vAlign w:val="center"/>
            <w:hideMark/>
          </w:tcPr>
          <w:p w:rsidR="00814244" w:rsidRPr="005D0ACE" w:rsidRDefault="00814244" w:rsidP="00C36286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任选课</w:t>
            </w:r>
          </w:p>
        </w:tc>
        <w:tc>
          <w:tcPr>
            <w:tcW w:w="402" w:type="pct"/>
            <w:vAlign w:val="center"/>
            <w:hideMark/>
          </w:tcPr>
          <w:p w:rsidR="00814244" w:rsidRPr="00814244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142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创新实践环节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14244" w:rsidRPr="00761E66" w:rsidRDefault="002F0AF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761E66"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  <w:t>tw0100100</w:t>
            </w:r>
          </w:p>
        </w:tc>
        <w:tc>
          <w:tcPr>
            <w:tcW w:w="1177" w:type="pct"/>
            <w:shd w:val="clear" w:color="auto" w:fill="auto"/>
            <w:vAlign w:val="center"/>
            <w:hideMark/>
          </w:tcPr>
          <w:p w:rsidR="00814244" w:rsidRPr="00761E66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761E66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第二课堂</w:t>
            </w:r>
            <w:r w:rsidRPr="00761E66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br/>
            </w:r>
            <w:r w:rsidR="002F0AF4" w:rsidRPr="00761E66"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  <w:t>Extra-curricular Class</w:t>
            </w:r>
          </w:p>
        </w:tc>
        <w:tc>
          <w:tcPr>
            <w:tcW w:w="269" w:type="pct"/>
            <w:vAlign w:val="center"/>
            <w:hideMark/>
          </w:tcPr>
          <w:p w:rsidR="00814244" w:rsidRPr="00814244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1424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5" w:type="pct"/>
            <w:vAlign w:val="center"/>
            <w:hideMark/>
          </w:tcPr>
          <w:p w:rsidR="00814244" w:rsidRPr="00AA21AA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  <w:hideMark/>
          </w:tcPr>
          <w:p w:rsidR="00814244" w:rsidRPr="00AA21AA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  <w:hideMark/>
          </w:tcPr>
          <w:p w:rsidR="00814244" w:rsidRPr="00AA21AA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  <w:hideMark/>
          </w:tcPr>
          <w:p w:rsidR="00814244" w:rsidRPr="00AA21AA" w:rsidRDefault="00814244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  <w:hideMark/>
          </w:tcPr>
          <w:p w:rsidR="00814244" w:rsidRPr="00AA21AA" w:rsidRDefault="00FB0579" w:rsidP="0081424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2" w:type="pct"/>
            <w:vAlign w:val="center"/>
            <w:hideMark/>
          </w:tcPr>
          <w:p w:rsidR="00814244" w:rsidRPr="005D0ACE" w:rsidRDefault="00FB0579" w:rsidP="0081424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B057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至少修读第二课堂2学分</w:t>
            </w:r>
          </w:p>
        </w:tc>
      </w:tr>
    </w:tbl>
    <w:p w:rsidR="00761E66" w:rsidRDefault="00CD5816" w:rsidP="00761E66">
      <w:pPr>
        <w:widowControl/>
        <w:shd w:val="clear" w:color="auto" w:fill="FFFFFF"/>
        <w:spacing w:line="360" w:lineRule="auto"/>
        <w:ind w:firstLineChars="244" w:firstLine="488"/>
        <w:jc w:val="left"/>
        <w:rPr>
          <w:rFonts w:ascii="宋体" w:eastAsia="宋体" w:hAnsi="宋体" w:cs="宋体"/>
          <w:b/>
          <w:color w:val="333333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注：</w:t>
      </w:r>
      <w:r w:rsidR="00761E66" w:rsidRPr="00761E66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第二课堂</w:t>
      </w:r>
      <w:r w:rsidR="00761E66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使用团委代码，本学院设置过的记得取消后设置为团委的</w:t>
      </w:r>
      <w:r w:rsidR="00125D1E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。</w:t>
      </w:r>
    </w:p>
    <w:p w:rsidR="00464576" w:rsidRPr="005D0ACE" w:rsidRDefault="00464576" w:rsidP="005D0ACE">
      <w:pPr>
        <w:widowControl/>
        <w:shd w:val="clear" w:color="auto" w:fill="FFFFFF"/>
        <w:spacing w:line="360" w:lineRule="auto"/>
        <w:ind w:firstLineChars="244" w:firstLine="710"/>
        <w:jc w:val="left"/>
        <w:rPr>
          <w:rFonts w:ascii="宋体" w:eastAsia="宋体" w:hAnsi="宋体" w:cs="宋体"/>
          <w:b/>
          <w:color w:val="333333"/>
          <w:kern w:val="0"/>
          <w:sz w:val="29"/>
          <w:szCs w:val="29"/>
        </w:rPr>
      </w:pPr>
      <w:r w:rsidRPr="005D0ACE">
        <w:rPr>
          <w:rFonts w:ascii="宋体" w:eastAsia="宋体" w:hAnsi="宋体" w:cs="宋体" w:hint="eastAsia"/>
          <w:b/>
          <w:color w:val="333333"/>
          <w:kern w:val="0"/>
          <w:sz w:val="29"/>
          <w:szCs w:val="29"/>
        </w:rPr>
        <w:t>2019、2020级第2、4学期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462"/>
        <w:gridCol w:w="1153"/>
        <w:gridCol w:w="2108"/>
        <w:gridCol w:w="473"/>
        <w:gridCol w:w="473"/>
        <w:gridCol w:w="465"/>
        <w:gridCol w:w="434"/>
        <w:gridCol w:w="446"/>
        <w:gridCol w:w="677"/>
        <w:gridCol w:w="1619"/>
      </w:tblGrid>
      <w:tr w:rsidR="00464576" w:rsidTr="00464576">
        <w:trPr>
          <w:trHeight w:val="240"/>
          <w:tblHeader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学分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总学时分配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周学时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建议修读学期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464576" w:rsidTr="00464576">
        <w:trPr>
          <w:trHeight w:val="240"/>
          <w:tblHeader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76" w:rsidRDefault="00464576" w:rsidP="00745685">
            <w:pPr>
              <w:widowControl/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通识教育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课程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必修课程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my0100802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中国近现代史纲要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Outline of Modern and Contemporary History of China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F41809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F4180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03E2A" w:rsidTr="00464576">
        <w:trPr>
          <w:trHeight w:val="144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my0100904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毛泽东思想和中国特色社会主义理论体系概论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Introduction to Mao Zedong Thought and Theory of Socialism with Chinese Characteristics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745685">
            <w:pPr>
              <w:widowControl/>
              <w:snapToGrid w:val="0"/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wb0100202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大学英语Ⅱ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English 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BB5832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BB5832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普本专业</w:t>
            </w:r>
            <w:proofErr w:type="gramEnd"/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wb0110404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English IV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2274E3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2274E3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wb0100802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基础英语Ⅱ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Basic English 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C25F66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25F66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运动训练专业</w:t>
            </w: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wb0101004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大学英语Ⅰ（下）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 xml:space="preserve">College English 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0706D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A95DF3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wb0101402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大学英语Ⅰ(艺)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English I(for Art Students)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CB2A28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体育教育、艺术类专业</w:t>
            </w:r>
          </w:p>
        </w:tc>
      </w:tr>
      <w:tr w:rsidR="00003E2A" w:rsidTr="00464576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wb0111604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大学英语Ⅲ(艺)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 xml:space="preserve"> College English III((for Art Students 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ty0100202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大学体育II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Physical Education 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ty0100404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大学体育Ⅳ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Physical Education 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yy0100102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音乐鉴赏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Music Appreciation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ms0100102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美术鉴赏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Fine Arts Appreciation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9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ls0100201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中华优秀传统文化概论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 xml:space="preserve"> Introduction to Fine Traditional Chinese Culture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24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cy0100302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大学生职业规划</w:t>
            </w:r>
          </w:p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Career Planning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wx0200102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College Chinese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03E2A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wx0200202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或应用写作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 xml:space="preserve">/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Practical  Writing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2A" w:rsidRDefault="00003E2A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48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教育课程</w:t>
            </w:r>
            <w:r w:rsidR="006052E9" w:rsidRPr="006052E9"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（师范类专业）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必修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课程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jy0400204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教育学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Pedagogy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E60D5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Pr="00125D1E" w:rsidRDefault="00201CE9" w:rsidP="00025CFD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</w:rPr>
            </w:pPr>
            <w:r w:rsidRPr="00125D1E"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jy060080</w:t>
            </w:r>
            <w:r w:rsidR="00025CFD" w:rsidRPr="00125D1E"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Pr="00125D1E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</w:rPr>
            </w:pPr>
            <w:r w:rsidRPr="00125D1E"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现代教育技术</w:t>
            </w:r>
            <w:r w:rsidR="00025CFD" w:rsidRPr="00125D1E"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（含实验）</w:t>
            </w:r>
            <w:r w:rsidRPr="00125D1E"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br/>
              <w:t>Modern Educational Technology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my0400602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教师职业道德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Professional Ethics of Teachers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76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选修课程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jy0600602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中学生心理辅导Counseling Psychology for Middle School Students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76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jy0602102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学前儿童心理辅导Psychological Counseling for Preschool Children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72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jy0601604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中学生品德发展与道德教育Students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Character and Moral Education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jy0601704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特殊教育概论Introduction to Special Education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201CE9" w:rsidTr="00464576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jy0601804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教育政策与法规Education Policies and Regulations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E9" w:rsidRDefault="00201CE9" w:rsidP="00745685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</w:tbl>
    <w:p w:rsidR="00B4704E" w:rsidRPr="00BD48CE" w:rsidRDefault="00B4704E" w:rsidP="00325F80">
      <w:pPr>
        <w:widowControl/>
        <w:shd w:val="clear" w:color="auto" w:fill="FFFFFF"/>
        <w:spacing w:line="360" w:lineRule="auto"/>
        <w:ind w:firstLineChars="215" w:firstLine="623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请各学院认真核对以上课程有无遗漏。以往因特殊原因未开的必修课要及时补上。</w:t>
      </w:r>
    </w:p>
    <w:p w:rsidR="00B4704E" w:rsidRPr="00BD48CE" w:rsidRDefault="00E5213D" w:rsidP="00325F80">
      <w:pPr>
        <w:widowControl/>
        <w:shd w:val="clear" w:color="auto" w:fill="FFFFFF"/>
        <w:spacing w:line="360" w:lineRule="auto"/>
        <w:ind w:firstLineChars="194" w:firstLine="563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、任务中排课周次原则上依据实际情况。</w:t>
      </w:r>
      <w:r w:rsidR="0089616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2017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级使用1-9</w:t>
      </w:r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周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，201</w:t>
      </w:r>
      <w:r w:rsidR="0089616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8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级、201</w:t>
      </w:r>
      <w:r w:rsidR="0089616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9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级、</w:t>
      </w:r>
      <w:r w:rsidR="0089616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级使用1-</w:t>
      </w:r>
      <w:r w:rsidR="0089616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19</w:t>
      </w:r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周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。若个别专业有特殊情况，请向教务处提交书面申请，教务处根据具体情况再作特殊处理。</w:t>
      </w:r>
    </w:p>
    <w:p w:rsidR="00B4704E" w:rsidRPr="00BF1D23" w:rsidRDefault="00E5213D" w:rsidP="00BF1D23">
      <w:pPr>
        <w:widowControl/>
        <w:shd w:val="clear" w:color="auto" w:fill="FFFFFF"/>
        <w:spacing w:line="495" w:lineRule="exact"/>
        <w:ind w:firstLineChars="221" w:firstLine="641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、原则上每一条教学任务只能有一个主讲教师。若某课程存在分段上课情况的，请按照每个时段上课</w:t>
      </w:r>
      <w:proofErr w:type="gramStart"/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始末周</w:t>
      </w:r>
      <w:proofErr w:type="gramEnd"/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次分</w:t>
      </w:r>
      <w:r w:rsidR="00BF1D23" w:rsidRPr="00BF1D23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成多个教学任务，并将同一上课班的分段教学任务设置为同一上课班组（</w:t>
      </w:r>
      <w:r w:rsidR="00B4704E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若不设置同一上课班组，会出现一个班的学生一部分学生选前半段课程，一部分学生选后半段课程</w:t>
      </w:r>
      <w:r w:rsidR="00BF1D23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）</w:t>
      </w:r>
      <w:r w:rsidR="00B4704E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。</w:t>
      </w:r>
    </w:p>
    <w:p w:rsidR="00B4704E" w:rsidRPr="00BD48CE" w:rsidRDefault="00E5213D" w:rsidP="00325F80">
      <w:pPr>
        <w:widowControl/>
        <w:shd w:val="clear" w:color="auto" w:fill="FFFFFF"/>
        <w:spacing w:line="360" w:lineRule="auto"/>
        <w:ind w:firstLineChars="194" w:firstLine="563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4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、若同一门课有多个教师担任多个教学班，则在制定每位教师的任务时都要将该课程的所有行政班合入任务中，以便这些行政班下的学生可以选择任意一位教师的上课班，相应每个</w:t>
      </w:r>
      <w:proofErr w:type="gramStart"/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上课班总人数</w:t>
      </w:r>
      <w:proofErr w:type="gramEnd"/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应修改为所含行政班学生总数除以分成的班数所得大致平均人数。</w:t>
      </w:r>
    </w:p>
    <w:p w:rsidR="00B4704E" w:rsidRDefault="00E5213D" w:rsidP="00BF1D23">
      <w:pPr>
        <w:widowControl/>
        <w:shd w:val="clear" w:color="auto" w:fill="FFFFFF"/>
        <w:spacing w:line="495" w:lineRule="exact"/>
        <w:ind w:firstLineChars="221" w:firstLine="641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5</w:t>
      </w:r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、所有不同教师带的、多选</w:t>
      </w:r>
      <w:proofErr w:type="gramStart"/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一</w:t>
      </w:r>
      <w:proofErr w:type="gramEnd"/>
      <w:r w:rsidR="00B4704E" w:rsidRPr="00BD48C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的课程或上课班，应当设置上课群组，方便</w:t>
      </w:r>
      <w:r w:rsidR="00BF1D23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安排学生在同一个时间点上课。</w:t>
      </w:r>
    </w:p>
    <w:p w:rsidR="00BF1D23" w:rsidRPr="00BF1D23" w:rsidRDefault="00E5213D" w:rsidP="00BF1D23">
      <w:pPr>
        <w:widowControl/>
        <w:shd w:val="clear" w:color="auto" w:fill="FFFFFF"/>
        <w:spacing w:line="495" w:lineRule="exact"/>
        <w:ind w:firstLineChars="221" w:firstLine="641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6</w:t>
      </w:r>
      <w:r w:rsidR="00BF1D23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关于合班人数设置：必修课合班人数设置要考虑到后期重修、补修情况，根据以往经验适当增加人数；选修课合班人数设置，一定以预选的结果为依据，否则会出现实际上课人数与教室容量差别过大情况，影响上课效果。</w:t>
      </w:r>
    </w:p>
    <w:p w:rsidR="00BF1D23" w:rsidRPr="00BD48CE" w:rsidRDefault="00E5213D" w:rsidP="00BF1D23">
      <w:pPr>
        <w:widowControl/>
        <w:shd w:val="clear" w:color="auto" w:fill="FFFFFF"/>
        <w:spacing w:line="495" w:lineRule="exact"/>
        <w:ind w:firstLineChars="221" w:firstLine="641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7</w:t>
      </w:r>
      <w:r w:rsidR="00BF1D23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、关于实验课：需要</w:t>
      </w:r>
      <w:proofErr w:type="gramStart"/>
      <w:r w:rsidR="00BF1D23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排时间</w:t>
      </w:r>
      <w:proofErr w:type="gramEnd"/>
      <w:r w:rsidR="00BF1D23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不需要排教室的实验课，须在“教学场地要求”中的“楼房</w:t>
      </w:r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”和“教室”中下</w:t>
      </w:r>
      <w:proofErr w:type="gramStart"/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拉选择</w:t>
      </w:r>
      <w:proofErr w:type="gramEnd"/>
      <w:r w:rsidR="000651E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实际上课场所（若不清楚教室可只选择楼房）。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三、其他事项：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</w:t>
      </w:r>
      <w:r w:rsidR="00325F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、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教育部《</w:t>
      </w:r>
      <w:r w:rsidR="00325F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关于一流本科课程建设的实施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意见》（</w:t>
      </w:r>
      <w:proofErr w:type="gramStart"/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教高</w:t>
      </w:r>
      <w:proofErr w:type="gramEnd"/>
      <w:r w:rsidR="00325F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[2019]8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号）</w:t>
      </w:r>
      <w:r w:rsidR="00325F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中明确指出：高等学校要严格执行教授为本科生授课制度，连续三年不承担本科课程的教授、副教授，转出教师系列。请督促本学院教授和副教授为本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科生上课，并填写《教授、副教授承担本科生课程情况统计表》（附件4）于</w:t>
      </w:r>
      <w:r w:rsidR="00BF1D23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12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 w:rsidR="00BF1D23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</w:t>
      </w: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日之前交教务处选课中心。教务处将按学年度对有关情况进行统计、核查，并在今后教务处组织的各种项目申报及年终考核时</w:t>
      </w:r>
      <w:proofErr w:type="gramStart"/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做为</w:t>
      </w:r>
      <w:proofErr w:type="gramEnd"/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参考。</w:t>
      </w:r>
    </w:p>
    <w:p w:rsidR="008C7A2D" w:rsidRPr="008C7A2D" w:rsidRDefault="008C7A2D" w:rsidP="008C7A2D">
      <w:pPr>
        <w:widowControl/>
        <w:shd w:val="clear" w:color="auto" w:fill="FFFFFF"/>
        <w:spacing w:line="495" w:lineRule="exact"/>
        <w:ind w:firstLine="46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2、关于重修及补修申请</w:t>
      </w:r>
    </w:p>
    <w:p w:rsidR="008C7A2D" w:rsidRPr="008C7A2D" w:rsidRDefault="008C7A2D" w:rsidP="000651E6">
      <w:pPr>
        <w:widowControl/>
        <w:shd w:val="clear" w:color="auto" w:fill="FFFFFF"/>
        <w:spacing w:line="495" w:lineRule="exact"/>
        <w:ind w:firstLineChars="150" w:firstLine="43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为方便学生选课并规范管理，重修、补修申请工作放在补选时通知。</w:t>
      </w:r>
    </w:p>
    <w:p w:rsidR="000651E6" w:rsidRDefault="000651E6" w:rsidP="00117011">
      <w:pPr>
        <w:widowControl/>
        <w:shd w:val="clear" w:color="auto" w:fill="FFFFFF"/>
        <w:spacing w:line="495" w:lineRule="exact"/>
        <w:ind w:left="720" w:right="580" w:firstLine="405"/>
        <w:jc w:val="right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</w:p>
    <w:p w:rsidR="008C7A2D" w:rsidRPr="008C7A2D" w:rsidRDefault="008C7A2D" w:rsidP="00117011">
      <w:pPr>
        <w:widowControl/>
        <w:shd w:val="clear" w:color="auto" w:fill="FFFFFF"/>
        <w:spacing w:line="495" w:lineRule="exact"/>
        <w:ind w:left="720" w:right="580" w:firstLine="405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教务处</w:t>
      </w:r>
    </w:p>
    <w:p w:rsidR="008C7A2D" w:rsidRPr="008C7A2D" w:rsidRDefault="00125D1E" w:rsidP="008C7A2D">
      <w:pPr>
        <w:widowControl/>
        <w:shd w:val="clear" w:color="auto" w:fill="FFFFFF"/>
        <w:spacing w:line="495" w:lineRule="exact"/>
        <w:ind w:left="720" w:firstLine="405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2020</w:t>
      </w:r>
      <w:r w:rsidR="008C7A2D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年</w:t>
      </w:r>
      <w:r w:rsidR="00BF1D23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11</w:t>
      </w:r>
      <w:r w:rsidR="008C7A2D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</w:t>
      </w:r>
      <w:r w:rsidR="008C7A2D" w:rsidRPr="008C7A2D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</w:t>
      </w:r>
    </w:p>
    <w:p w:rsidR="00A04FB7" w:rsidRPr="00117011" w:rsidRDefault="00A04FB7"/>
    <w:sectPr w:rsidR="00A04FB7" w:rsidRPr="00117011" w:rsidSect="00A9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D7" w:rsidRDefault="008910D7" w:rsidP="002D736E">
      <w:r>
        <w:separator/>
      </w:r>
    </w:p>
  </w:endnote>
  <w:endnote w:type="continuationSeparator" w:id="0">
    <w:p w:rsidR="008910D7" w:rsidRDefault="008910D7" w:rsidP="002D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D7" w:rsidRDefault="008910D7" w:rsidP="002D736E">
      <w:r>
        <w:separator/>
      </w:r>
    </w:p>
  </w:footnote>
  <w:footnote w:type="continuationSeparator" w:id="0">
    <w:p w:rsidR="008910D7" w:rsidRDefault="008910D7" w:rsidP="002D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A2D"/>
    <w:rsid w:val="00003E2A"/>
    <w:rsid w:val="0001445B"/>
    <w:rsid w:val="00025CFD"/>
    <w:rsid w:val="000651E6"/>
    <w:rsid w:val="000964A9"/>
    <w:rsid w:val="00114DE5"/>
    <w:rsid w:val="00117011"/>
    <w:rsid w:val="00125D1E"/>
    <w:rsid w:val="001503AF"/>
    <w:rsid w:val="00201CE9"/>
    <w:rsid w:val="00202D86"/>
    <w:rsid w:val="00220A2C"/>
    <w:rsid w:val="00241E7A"/>
    <w:rsid w:val="0027015E"/>
    <w:rsid w:val="002D736E"/>
    <w:rsid w:val="002F0AF4"/>
    <w:rsid w:val="0031472E"/>
    <w:rsid w:val="00325F80"/>
    <w:rsid w:val="003918D9"/>
    <w:rsid w:val="003A7559"/>
    <w:rsid w:val="00406584"/>
    <w:rsid w:val="004431D7"/>
    <w:rsid w:val="0045637B"/>
    <w:rsid w:val="00464576"/>
    <w:rsid w:val="0047234B"/>
    <w:rsid w:val="004A46C6"/>
    <w:rsid w:val="00551E9E"/>
    <w:rsid w:val="005B5B7F"/>
    <w:rsid w:val="005C5C4A"/>
    <w:rsid w:val="005D0ACE"/>
    <w:rsid w:val="005F16D5"/>
    <w:rsid w:val="006052E9"/>
    <w:rsid w:val="006B517C"/>
    <w:rsid w:val="006C2E96"/>
    <w:rsid w:val="006C7C68"/>
    <w:rsid w:val="00703AA2"/>
    <w:rsid w:val="00717F3D"/>
    <w:rsid w:val="00761E66"/>
    <w:rsid w:val="00790563"/>
    <w:rsid w:val="007B59F8"/>
    <w:rsid w:val="007F37BA"/>
    <w:rsid w:val="00814244"/>
    <w:rsid w:val="00835E31"/>
    <w:rsid w:val="008910D7"/>
    <w:rsid w:val="00896165"/>
    <w:rsid w:val="008C7A2D"/>
    <w:rsid w:val="00927455"/>
    <w:rsid w:val="00A04FB7"/>
    <w:rsid w:val="00A05851"/>
    <w:rsid w:val="00A33FEA"/>
    <w:rsid w:val="00A93AA7"/>
    <w:rsid w:val="00AA21AA"/>
    <w:rsid w:val="00B00092"/>
    <w:rsid w:val="00B4704E"/>
    <w:rsid w:val="00B51251"/>
    <w:rsid w:val="00B54D2B"/>
    <w:rsid w:val="00B63E56"/>
    <w:rsid w:val="00B7672B"/>
    <w:rsid w:val="00BD2843"/>
    <w:rsid w:val="00BF1D23"/>
    <w:rsid w:val="00C36286"/>
    <w:rsid w:val="00C834B7"/>
    <w:rsid w:val="00C9373F"/>
    <w:rsid w:val="00C96431"/>
    <w:rsid w:val="00CD5816"/>
    <w:rsid w:val="00D26495"/>
    <w:rsid w:val="00DC19B3"/>
    <w:rsid w:val="00E11639"/>
    <w:rsid w:val="00E5213D"/>
    <w:rsid w:val="00E60602"/>
    <w:rsid w:val="00E76D24"/>
    <w:rsid w:val="00E77CB7"/>
    <w:rsid w:val="00E8715B"/>
    <w:rsid w:val="00F3172E"/>
    <w:rsid w:val="00F47616"/>
    <w:rsid w:val="00F976CA"/>
    <w:rsid w:val="00FB0579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A2D"/>
    <w:rPr>
      <w:strike w:val="0"/>
      <w:dstrike w:val="0"/>
      <w:color w:val="414141"/>
      <w:u w:val="none"/>
      <w:effect w:val="none"/>
    </w:rPr>
  </w:style>
  <w:style w:type="character" w:styleId="a4">
    <w:name w:val="Strong"/>
    <w:basedOn w:val="a0"/>
    <w:uiPriority w:val="22"/>
    <w:qFormat/>
    <w:rsid w:val="008C7A2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C7A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7A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D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736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D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7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A2D"/>
    <w:rPr>
      <w:strike w:val="0"/>
      <w:dstrike w:val="0"/>
      <w:color w:val="414141"/>
      <w:u w:val="none"/>
      <w:effect w:val="none"/>
    </w:rPr>
  </w:style>
  <w:style w:type="character" w:styleId="a4">
    <w:name w:val="Strong"/>
    <w:basedOn w:val="a0"/>
    <w:uiPriority w:val="22"/>
    <w:qFormat/>
    <w:rsid w:val="008C7A2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C7A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7A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D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736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D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7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7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2019-11-04T02:03:00Z</cp:lastPrinted>
  <dcterms:created xsi:type="dcterms:W3CDTF">2019-10-30T07:49:00Z</dcterms:created>
  <dcterms:modified xsi:type="dcterms:W3CDTF">2020-11-03T01:19:00Z</dcterms:modified>
</cp:coreProperties>
</file>