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FFCAC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关于开展2026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2027学年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第二课堂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精品项目申报工作的通知</w:t>
      </w:r>
    </w:p>
    <w:p w14:paraId="2B134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团委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校级学生组织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332B4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为深入贯彻落实国家教育事业发展第十五个五年规划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部署，进一步深化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五育并举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育人工作体系，主动对接教育强国建设对高素质人才的需求，充分发挥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第二课堂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在人才培养中的关键作用，打造一批定位精准、特色鲜明、育人实效突出的品牌项目，根据《河南师范大学全日制本科生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第二课堂成绩单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制度实施办法》及学校文化建设总体部署，校团委决定开展2026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2027学年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第二课堂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精品项目申报工作。现将有关事项通知如下：</w:t>
      </w:r>
    </w:p>
    <w:p w14:paraId="318F0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一、申报类型</w:t>
      </w:r>
    </w:p>
    <w:p w14:paraId="6A644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本次申报类型分为重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点专项选题、分类指引选题、品牌建设选题三大类，所有选题面向学院/校级学生组织开放申报，实行分赛道评审。各申报主体应立足自身定位开展项目策划，</w:t>
      </w:r>
      <w:r>
        <w:rPr>
          <w:rFonts w:hint="eastAsia" w:ascii="仿宋" w:hAnsi="仿宋" w:eastAsia="仿宋" w:cs="仿宋"/>
          <w:sz w:val="32"/>
          <w:szCs w:val="32"/>
        </w:rPr>
        <w:t>明确项目实施侧重，具体细化要求如下：</w:t>
      </w:r>
    </w:p>
    <w:p w14:paraId="4132E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（一）重点专项选题</w:t>
      </w:r>
    </w:p>
    <w:p w14:paraId="64728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聚焦学校文化建设重点方向，设立三个专项专题</w:t>
      </w:r>
    </w:p>
    <w:p w14:paraId="1915C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1.“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青春阅读课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”阅读提升专项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围绕经典共读、读书沙龙、名家导读、阅读挑战赛、读书笔记展评等形式，构建“学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行”一体化阅读体系，营造浓厚校园书香氛围。</w:t>
      </w:r>
    </w:p>
    <w:p w14:paraId="48819C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学风建设、全员普惠。院团委立足本院学科专业，开发学科阅读书单，面向全院开展主题阅读月、全院共读、读书笔记巡展、大型读书挑战赛，推动阅读与第一课堂学风建设深度融合，提升全院学生参与覆盖率；校级学生组织可面向全校承办名家导读、校级大型阅读赛事，营造全校书香氛围。项目须落实每月不少于1场常态化开展。</w:t>
      </w:r>
    </w:p>
    <w:p w14:paraId="2EA31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2.“青春舞台”周末文化广场专项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以周末文化广场为载体，策划主题文艺展演（如器乐演奏、话剧展演、歌舞专场等），打造常态化、高品质校园文艺品牌，丰富学生周末文化生活。</w:t>
      </w:r>
    </w:p>
    <w:p w14:paraId="3284C4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主题引领、综合承办。院团委结合重大节点、学院文化，整合院内班级、文体力量，承办综合性主题汇演，面向全校开放，强化美育思想引领；校级学生组织统筹全校文艺资源，承办校级重大主题文艺专场。项目须落实每学期不少于1场常态化开展。</w:t>
      </w:r>
    </w:p>
    <w:p w14:paraId="33B8B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3.“数智工坊”技能成长专项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聚焦学生数字素养与实用技能培养，开展AI工具应用工坊、办公技能进阶、数据可视化实战、新媒体创作实训、信息检索与学术规范培训、数字化备课与多媒体教学设计实训等系列实操实训活动，着力推动学生技能培养与个人能力成长。</w:t>
      </w:r>
    </w:p>
    <w:p w14:paraId="6FE462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出学业就业普惠实训。师范类学院聚焦数字化备课、多媒体教学设计；理工科聚焦科研工具、数据可视化；文科聚焦学术规范、信息检索、新媒体素养，面向本院学生普及数字技能；校级学生组织面向全校开设AI工具、办公技能通用工坊。项目须落实每月不少于1场常态化开展。</w:t>
      </w:r>
    </w:p>
    <w:p w14:paraId="614EA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（二）分类指引选题</w:t>
      </w:r>
    </w:p>
    <w:p w14:paraId="16237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围绕“五育融合”目标与“十五五”人才培养新要求，设置五个方向。</w:t>
      </w:r>
    </w:p>
    <w:p w14:paraId="21420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1.思想政治与道德素养类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以习近平新时代中国特色社会主义思想为指导，聚焦党的创新理论青年化阐释和红色精神的青年化传承，弘扬社会主义核心价值观。把握重要时间节点，组织开展理论学习、影像观摩、青年理论宣讲、形势政策研讨等活动，强化责任担当、厚植家国情怀。</w:t>
      </w:r>
    </w:p>
    <w:p w14:paraId="2559CC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面向全院/全校开展规模化理论宣讲、形势政策学习、红色研学实践，联动团支部开展主题教育，注重覆盖面，落实青年思想引领，服务全院学生思想政治提升。</w:t>
      </w:r>
    </w:p>
    <w:p w14:paraId="3DAE7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2.职业发展与科创实践类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接“十五五”时期高质量就业需求，以“科教兴国”战略为引领，聚焦实践应用与创新产出培育。立足求职从教、创新创业实战场景，开展专项实训与路演实践，助力学生明晰职业方向、夯实岗位胜任能力；深度融合人工智能发展趋势，通过学科竞赛历练、跨学科科创研讨、AI+学科创新项目孵化，锤炼学生创新思维与科研实践能力。</w:t>
      </w:r>
    </w:p>
    <w:p w14:paraId="75FF85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结合学院专业开展就业求职实训、师范生从教技能培训、学科竞赛动员、科创沙龙，面向全院学生普惠开展，打通专业学习到就业科创的培养链条。</w:t>
      </w:r>
    </w:p>
    <w:p w14:paraId="2A6A0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3.文化艺术与审美体验类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聚焦中华优秀传统文化创造性转化与创新性发展，深度开展非遗手作传承、艺术工坊实践、经典文艺展演、美学通识教育等活动，提升学生审美品位与人文素养，塑造格调高雅、底蕴深厚的校园文化生态。</w:t>
      </w:r>
    </w:p>
    <w:p w14:paraId="1AA67A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面向全院开展非遗进校园、大型美育展览、通识美育讲座，整合校内外美育资源，扩大美育活动覆盖面，营造学院美育氛围。</w:t>
      </w:r>
    </w:p>
    <w:p w14:paraId="23B21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4.体育健身与竞技竞赛类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以“健康中国”战略为导向，聚焦体质提升与体育精神培育，创新开展大众体育联赛、科学运动科普、健康管理实训、竞技技能挑战等活动，培养学生终身锻炼习惯、团队协作意识与拼搏进取精神，营造阳光活力的校园体育氛围。</w:t>
      </w:r>
    </w:p>
    <w:p w14:paraId="5D67A2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举办院级大众体育联赛、趣味运动会、运动健康科普巡讲，面向全院广泛动员，提升学生体质健康水平，培育集体体育精神。</w:t>
      </w:r>
    </w:p>
    <w:p w14:paraId="3F70F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5.志愿服务与劳动实践类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以劳动精神培育为抓手，聚焦社会责任意识与实践能力锻造，持续推进社区公益服务、校园绿色行动、专业技能助农、劳动教育实践等活动，引导学生扎根基层、服务社会，在躬耕力行中涵养奉献品格、锤炼实干本领。</w:t>
      </w:r>
    </w:p>
    <w:p w14:paraId="15410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统筹全院志愿力量，对接地方社区、乡村开展规模化专业志愿服务、集中劳动实践，组织全院学生参与社会实践，突出专业赋能与规模化服务成效。</w:t>
      </w:r>
    </w:p>
    <w:p w14:paraId="33D03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（三）品牌建设</w:t>
      </w:r>
    </w:p>
    <w:p w14:paraId="406FB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本类选题赛道仍保留原有申报主体限制，同时明确项目建设定位。</w:t>
      </w:r>
    </w:p>
    <w:p w14:paraId="45AA5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“一院一品”特色项目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各学院应立足学科专业特色，聚焦人才培养核心能力，系统构建具有专业延续性和品牌影响力的第二课堂项目。项目设计须衔接第一课堂教学内容，通过实践平台促进专业知识转化应用，形成“课堂理论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实践应用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能力提升”的育人闭环。项目须明确年度实施计划，建立可持续运作机制，每学期开展不少于2次全院性品牌活动（不含小型班会、内部例会等），覆盖本学院50%以上学生，并形成可推广的课程化活动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模式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0450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、申报类别</w:t>
      </w:r>
    </w:p>
    <w:p w14:paraId="5A55F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本次申报为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学院/校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级学生组织类。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2026-2027学年</w:t>
      </w:r>
      <w:r>
        <w:rPr>
          <w:rFonts w:hint="eastAsia" w:ascii="仿宋" w:hAnsi="仿宋" w:eastAsia="仿宋" w:cs="仿宋"/>
          <w:sz w:val="32"/>
          <w:szCs w:val="32"/>
        </w:rPr>
        <w:t>各院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团委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校级学生组织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立项名额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10个，每个立项项目经费2000元；各院（部）团委至少申报1项，校级学生组织自愿申报。</w:t>
      </w:r>
    </w:p>
    <w:p w14:paraId="1A481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注：经费均实行凭票据按预算报销。鼓励创新港校区各院部、学生组织积极申报参与本次第二课堂精品项目，项目申报、评审、立项标准与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保持一致。</w:t>
      </w:r>
    </w:p>
    <w:p w14:paraId="018FD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、申报要求</w:t>
      </w:r>
    </w:p>
    <w:p w14:paraId="3231DA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突出育人导向。项目须设置可量化成效指标，明确活动覆盖人数，学生参与满意度不低于85%。</w:t>
      </w:r>
    </w:p>
    <w:p w14:paraId="536C00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注重内容创新。避免项目同质化，鼓励结合学科专业特色，运用沉浸式体验、跨学科协作、AI赋能等新形式开展活动。</w:t>
      </w:r>
    </w:p>
    <w:p w14:paraId="501B233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完善实施方案。制定详细实施计划表，明确各阶段任务、活动场地以及资源需求。</w:t>
      </w:r>
    </w:p>
    <w:p w14:paraId="5362BE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配齐指导力量。每个项目须配备1名校内教师担任指导教师，全程参与项目策划与组织实施。</w:t>
      </w:r>
    </w:p>
    <w:p w14:paraId="0B3DC9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规范联合申报。跨单位合作项目须明确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牵头申报单位，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联合协作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单位不超过3个，鼓励跨学院、跨学科联合申报。</w:t>
      </w:r>
    </w:p>
    <w:p w14:paraId="17651F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夯实项目基础。申报品牌类项目可同步提交往期活动成果作为支撑材料，包括活动照片、媒体报道等。</w:t>
      </w:r>
    </w:p>
    <w:p w14:paraId="2D0F2A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落实专项常态化。申报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重点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专项选题项目须落实常态化开展要求：阅读提升专项每月不少于1场，技能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专项每月不少于1场，周末文化广场专项每学期不少于1场。</w:t>
      </w:r>
    </w:p>
    <w:p w14:paraId="15A4B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、申报与实施流程</w:t>
      </w:r>
    </w:p>
    <w:p w14:paraId="262B4BC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申报阶段（2026年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日—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日）</w:t>
      </w:r>
    </w:p>
    <w:p w14:paraId="338DC8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填写《河南师范大学第二课堂精品项目申报书》（附件1），有相关成果的活动可随申报书提交往期活动支撑材料；申报书需签署学院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</w:rPr>
        <w:t>业务指导单位意见，并加盖学院团委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</w:rPr>
        <w:t>业务指导单位公章。于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2026年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日前</w:t>
      </w:r>
      <w:r>
        <w:rPr>
          <w:rFonts w:hint="eastAsia" w:ascii="仿宋" w:hAnsi="仿宋" w:eastAsia="仿宋" w:cs="仿宋"/>
          <w:sz w:val="32"/>
          <w:szCs w:val="32"/>
        </w:rPr>
        <w:t>将签字盖章后的《申报书》提交至校团委办公室（万人餐厅三楼3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室），联系人：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刘老师</w:t>
      </w:r>
      <w:r>
        <w:rPr>
          <w:rFonts w:hint="eastAsia" w:ascii="仿宋" w:hAnsi="仿宋" w:eastAsia="仿宋" w:cs="仿宋"/>
          <w:sz w:val="32"/>
          <w:szCs w:val="32"/>
        </w:rPr>
        <w:t>，联系电话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3326156</w:t>
      </w:r>
      <w:r>
        <w:rPr>
          <w:rFonts w:hint="eastAsia" w:ascii="仿宋" w:hAnsi="仿宋" w:eastAsia="仿宋" w:cs="仿宋"/>
          <w:sz w:val="32"/>
          <w:szCs w:val="32"/>
        </w:rPr>
        <w:t>，电子版发送至hnsfdxtwstb@163.com（邮件主题及压缩包命名为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</w:rPr>
        <w:t>学生组织类：单位名称第二课堂精品项目（学院组织类）申报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7A455FA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评审阶段（2026年10月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下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旬）</w:t>
      </w:r>
    </w:p>
    <w:p w14:paraId="57DB48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由校团委联合相关单位，对各单位的立项申报进行评审，立项结果通过校团委官网进行公示。</w:t>
      </w:r>
    </w:p>
    <w:p w14:paraId="01EF90B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实施阶段（2026年10月—2027年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月）</w:t>
      </w:r>
    </w:p>
    <w:p w14:paraId="3F58A9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经费支持：立项项目给予经费支持，立项单位凭票据按预算报销。</w:t>
      </w:r>
    </w:p>
    <w:p w14:paraId="1EA7E98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实施要求</w:t>
      </w:r>
    </w:p>
    <w:p w14:paraId="3C2E7B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所有获立项的精品项目需严格按照《申报书》中的项目方案有序组织实施，确保项目按期完成并达到育人目标。项目实施过程中，需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留存</w:t>
      </w:r>
      <w:r>
        <w:rPr>
          <w:rFonts w:hint="eastAsia" w:ascii="仿宋" w:hAnsi="仿宋" w:eastAsia="仿宋" w:cs="仿宋"/>
          <w:sz w:val="32"/>
          <w:szCs w:val="32"/>
        </w:rPr>
        <w:t>相应的视频、图片、文字等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过程</w:t>
      </w:r>
      <w:r>
        <w:rPr>
          <w:rFonts w:hint="eastAsia" w:ascii="仿宋" w:hAnsi="仿宋" w:eastAsia="仿宋" w:cs="仿宋"/>
          <w:sz w:val="32"/>
          <w:szCs w:val="32"/>
        </w:rPr>
        <w:t>材料，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活动相关新闻稿件及时报送至校团委宣传部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A4B286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实施期限</w:t>
      </w:r>
    </w:p>
    <w:p w14:paraId="3C3DCF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所有获立项的精品项目原则上需在本学年内完成。若部分项目立意突出、育人价值较高，实施周期较长，可申请设置培育期，按程序申请延长结项期限。</w:t>
      </w:r>
    </w:p>
    <w:p w14:paraId="44281B8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验收考核（202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月）</w:t>
      </w:r>
    </w:p>
    <w:p w14:paraId="02FF0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提交结项总结材料（含成果汇编、参与数据分析、学生反馈、活动照片）；校团委将第二课堂精品项目立项、结项情况纳入各单位年度工作考评。</w:t>
      </w:r>
    </w:p>
    <w:p w14:paraId="169F7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、工作要求</w:t>
      </w:r>
    </w:p>
    <w:p w14:paraId="5AE71A0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做好顶层设计，</w:t>
      </w:r>
      <w:r>
        <w:rPr>
          <w:rFonts w:hint="eastAsia" w:ascii="仿宋" w:hAnsi="仿宋" w:eastAsia="仿宋" w:cs="仿宋"/>
          <w:sz w:val="32"/>
          <w:szCs w:val="32"/>
        </w:rPr>
        <w:t>各院（部）团委、学生组织（含创新港校区各单位）要坚持重质量轻数量，整合各类资源，鼓励跨校区、跨单位联合，主动对接地方发展需求，打造教育性强、覆盖面广的精品校园文化活动。</w:t>
      </w:r>
    </w:p>
    <w:p w14:paraId="2E2695B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做好活动宣传，</w:t>
      </w:r>
      <w:r>
        <w:rPr>
          <w:rFonts w:hint="eastAsia" w:ascii="仿宋" w:hAnsi="仿宋" w:eastAsia="仿宋" w:cs="仿宋"/>
          <w:sz w:val="32"/>
          <w:szCs w:val="32"/>
        </w:rPr>
        <w:t>各院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部）</w:t>
      </w:r>
      <w:r>
        <w:rPr>
          <w:rFonts w:hint="eastAsia" w:ascii="仿宋" w:hAnsi="仿宋" w:eastAsia="仿宋" w:cs="仿宋"/>
          <w:sz w:val="32"/>
          <w:szCs w:val="32"/>
        </w:rPr>
        <w:t>团委以及各学生组织要充分利用新媒体平台、活动海报等多种方式做好宣传工作，提高活动有效覆盖面。要持续构建校园文化活动宣传矩阵，注重过程和成果的宣传展示，及时向相关媒体平台投稿。</w:t>
      </w:r>
    </w:p>
    <w:p w14:paraId="3FCC0EA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做好项目管理，</w:t>
      </w:r>
      <w:r>
        <w:rPr>
          <w:rFonts w:hint="eastAsia" w:ascii="仿宋" w:hAnsi="仿宋" w:eastAsia="仿宋" w:cs="仿宋"/>
          <w:sz w:val="32"/>
          <w:szCs w:val="32"/>
        </w:rPr>
        <w:t>各院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部）</w:t>
      </w:r>
      <w:r>
        <w:rPr>
          <w:rFonts w:hint="eastAsia" w:ascii="仿宋" w:hAnsi="仿宋" w:eastAsia="仿宋" w:cs="仿宋"/>
          <w:sz w:val="32"/>
          <w:szCs w:val="32"/>
        </w:rPr>
        <w:t>团委以及各学生组织在活动开始前一周向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校团委</w:t>
      </w:r>
      <w:r>
        <w:rPr>
          <w:rFonts w:hint="eastAsia" w:ascii="仿宋" w:hAnsi="仿宋" w:eastAsia="仿宋" w:cs="仿宋"/>
          <w:sz w:val="32"/>
          <w:szCs w:val="32"/>
        </w:rPr>
        <w:t>做好活动报备。要提前做好活动应急预案，注重加强过程性指导。活动结束后及时做好成果总结，活动内的评奖评优应秉持公正、公平、公开原则，接受师生监督。</w:t>
      </w:r>
    </w:p>
    <w:p w14:paraId="113C1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7EF5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CB39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DE1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F9F2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C303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共青团河南师范大学委员会</w:t>
      </w:r>
    </w:p>
    <w:p w14:paraId="11C49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4DB5DA0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2CAA2B-C2F1-4D25-BC94-1F1E59BB8F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AD3925B-5CEF-4C0C-BF5E-E0B68CB5E02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D8B3DFC-9048-48CE-A3C9-AD2C8CE56DF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894BD1"/>
    <w:multiLevelType w:val="singleLevel"/>
    <w:tmpl w:val="9B894BD1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601441B"/>
    <w:multiLevelType w:val="singleLevel"/>
    <w:tmpl w:val="F601441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34DB5F7D"/>
    <w:multiLevelType w:val="singleLevel"/>
    <w:tmpl w:val="34DB5F7D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wMGY1Yjg2OGVmMjU2MDMxMTAzMTg2NDBjNjZlZWQifQ=="/>
  </w:docVars>
  <w:rsids>
    <w:rsidRoot w:val="FFFF8C1C"/>
    <w:rsid w:val="04A937D5"/>
    <w:rsid w:val="05FE0636"/>
    <w:rsid w:val="0C262082"/>
    <w:rsid w:val="0F85580A"/>
    <w:rsid w:val="153D3316"/>
    <w:rsid w:val="16ED0036"/>
    <w:rsid w:val="20724B37"/>
    <w:rsid w:val="2081563F"/>
    <w:rsid w:val="23C64DF2"/>
    <w:rsid w:val="267651B6"/>
    <w:rsid w:val="2FE75085"/>
    <w:rsid w:val="30BF73FB"/>
    <w:rsid w:val="329D5D30"/>
    <w:rsid w:val="36AA31B5"/>
    <w:rsid w:val="3D926692"/>
    <w:rsid w:val="3EDDBAB6"/>
    <w:rsid w:val="3FFFFD91"/>
    <w:rsid w:val="4BF05D9C"/>
    <w:rsid w:val="59CC01AF"/>
    <w:rsid w:val="5A2C5BCB"/>
    <w:rsid w:val="5F5B8DDF"/>
    <w:rsid w:val="5FBC710A"/>
    <w:rsid w:val="663C7F23"/>
    <w:rsid w:val="67487001"/>
    <w:rsid w:val="6A1A7CF2"/>
    <w:rsid w:val="6BAC43CC"/>
    <w:rsid w:val="74EF95EE"/>
    <w:rsid w:val="76012C40"/>
    <w:rsid w:val="7670A84D"/>
    <w:rsid w:val="79148E7F"/>
    <w:rsid w:val="7A6F6A72"/>
    <w:rsid w:val="7CA72057"/>
    <w:rsid w:val="7DBD58A6"/>
    <w:rsid w:val="7DFF6363"/>
    <w:rsid w:val="7EFF581B"/>
    <w:rsid w:val="EFEB7839"/>
    <w:rsid w:val="F7D7AB00"/>
    <w:rsid w:val="FFDFA22F"/>
    <w:rsid w:val="FFFF8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2f4c7e3-8642-4dcd-aafa-e9c53d0882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3601</Words>
  <Characters>3703</Characters>
  <Lines>0</Lines>
  <Paragraphs>0</Paragraphs>
  <TotalTime>28</TotalTime>
  <ScaleCrop>false</ScaleCrop>
  <LinksUpToDate>false</LinksUpToDate>
  <CharactersWithSpaces>3703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2026-10-01T17:42:00Z</dcterms:created>
  <dc:creator>bj80231</dc:creator>
  <cp:lastModifiedBy>ck</cp:lastModifiedBy>
  <cp:lastPrinted>2026-10-12T20:04:00Z</cp:lastPrinted>
  <dcterms:modified xsi:type="dcterms:W3CDTF">2026-10-14T07:02:14Z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B086BBC7705D47BF9B4883D0ED9789C7_13</vt:lpwstr>
  </property>
  <property fmtid="{D5CDD505-2E9C-101B-9397-08002B2CF9AE}" pid="4" name="KSOTemplateDocerSaveRecord">
    <vt:lpwstr>eyJoZGlkIjoiOTg5NGJhZTY3ZmM5OTI2YjIxMzY0MTgxMTcxYjY1M2IiLCJ1c2VySWQiOiI0MjM4NzEyNjcifQ==</vt:lpwstr>
  </property>
</Properties>
</file>