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河南师范大学志愿服务项目大赛活动方案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志愿服务是社会文明进步的重要标志，是加强精神文明建设、培育和践行社会主义核心价值观的重要内容。</w:t>
      </w:r>
      <w:r>
        <w:rPr>
          <w:rFonts w:hint="eastAsia" w:ascii="仿宋" w:hAnsi="仿宋" w:eastAsia="仿宋"/>
          <w:color w:val="auto"/>
          <w:sz w:val="32"/>
          <w:szCs w:val="32"/>
        </w:rPr>
        <w:t>为深入学习贯彻党的二十大精神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color w:val="auto"/>
          <w:sz w:val="32"/>
          <w:szCs w:val="32"/>
        </w:rPr>
        <w:t>习近平新时代中国特色社会主义思想，贯彻落实习近平总书记关于志愿服务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和弘扬雷锋精神</w:t>
      </w:r>
      <w:r>
        <w:rPr>
          <w:rFonts w:hint="eastAsia" w:ascii="仿宋" w:hAnsi="仿宋" w:eastAsia="仿宋"/>
          <w:color w:val="auto"/>
          <w:sz w:val="32"/>
          <w:szCs w:val="32"/>
        </w:rPr>
        <w:t>的重要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讲话精神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引导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广大师生深刻把握雷锋精神的时代内涵，</w:t>
      </w:r>
      <w:r>
        <w:rPr>
          <w:rFonts w:hint="eastAsia" w:ascii="仿宋" w:hAnsi="仿宋" w:eastAsia="仿宋"/>
          <w:color w:val="auto"/>
          <w:sz w:val="32"/>
          <w:szCs w:val="32"/>
        </w:rPr>
        <w:t>弘扬奉献、友爱、互助、进步的志愿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/>
          <w:color w:val="auto"/>
          <w:sz w:val="32"/>
          <w:szCs w:val="32"/>
        </w:rPr>
        <w:t>精神，积极投身新时代文明实践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为全面建设社会主义现代化国家、全面推进中华民族伟大复兴贡献智慧和力量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决定举办河南师范大学志愿服务项目大赛。具体方案如下：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一、主办单位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党委宣传部</w:t>
      </w:r>
    </w:p>
    <w:p>
      <w:pPr>
        <w:pStyle w:val="2"/>
        <w:rPr>
          <w:rFonts w:hint="default" w:eastAsia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校文明办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二、承办单位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社会事业学院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大赛主题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学习二十大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志愿新时代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、比赛时间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、参赛对象和要求</w:t>
      </w:r>
    </w:p>
    <w:p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（一）参赛对象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全体教职工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全日制在校生</w:t>
      </w:r>
    </w:p>
    <w:p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（二）参赛组别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1.教工组：以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教职工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为主体开展的志愿服务项目。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2.学生组：以学生为主体开展的志愿服务项目。</w:t>
      </w:r>
    </w:p>
    <w:p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（三）参赛要求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</w:t>
      </w:r>
      <w:r>
        <w:rPr>
          <w:rFonts w:ascii="仿宋" w:hAnsi="仿宋" w:eastAsia="仿宋" w:cs="仿宋"/>
          <w:color w:val="auto"/>
          <w:sz w:val="32"/>
          <w:szCs w:val="32"/>
        </w:rPr>
        <w:t>以团队方式组队报名，每队由3-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color w:val="auto"/>
          <w:sz w:val="32"/>
          <w:szCs w:val="32"/>
        </w:rPr>
        <w:t>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师生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核心成员</w:t>
      </w:r>
      <w:r>
        <w:rPr>
          <w:rFonts w:ascii="仿宋" w:hAnsi="仿宋" w:eastAsia="仿宋" w:cs="仿宋"/>
          <w:color w:val="auto"/>
          <w:sz w:val="32"/>
          <w:szCs w:val="32"/>
        </w:rPr>
        <w:t>组成，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允许</w:t>
      </w:r>
      <w:r>
        <w:rPr>
          <w:rFonts w:ascii="仿宋" w:hAnsi="仿宋" w:eastAsia="仿宋" w:cs="仿宋"/>
          <w:color w:val="auto"/>
          <w:sz w:val="32"/>
          <w:szCs w:val="32"/>
        </w:rPr>
        <w:t>跨年级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、跨专业</w:t>
      </w:r>
      <w:r>
        <w:rPr>
          <w:rFonts w:ascii="仿宋" w:hAnsi="仿宋" w:eastAsia="仿宋" w:cs="仿宋"/>
          <w:color w:val="auto"/>
          <w:sz w:val="32"/>
          <w:szCs w:val="32"/>
        </w:rPr>
        <w:t>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队</w:t>
      </w:r>
      <w:r>
        <w:rPr>
          <w:rFonts w:ascii="仿宋" w:hAnsi="仿宋" w:eastAsia="仿宋" w:cs="仿宋"/>
          <w:color w:val="auto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学生组须有</w:t>
      </w:r>
      <w:r>
        <w:rPr>
          <w:rFonts w:ascii="仿宋" w:hAnsi="仿宋" w:eastAsia="仿宋" w:cs="仿宋"/>
          <w:color w:val="auto"/>
          <w:sz w:val="32"/>
          <w:szCs w:val="32"/>
        </w:rPr>
        <w:t>1名老师作为指导老师；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3.参赛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</w:t>
      </w:r>
      <w:r>
        <w:rPr>
          <w:rFonts w:ascii="仿宋" w:hAnsi="仿宋" w:eastAsia="仿宋" w:cs="仿宋"/>
          <w:color w:val="auto"/>
          <w:sz w:val="32"/>
          <w:szCs w:val="32"/>
        </w:rPr>
        <w:t>应具备完整性和示范性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ascii="仿宋" w:hAnsi="仿宋" w:eastAsia="仿宋" w:cs="仿宋"/>
          <w:color w:val="auto"/>
          <w:sz w:val="32"/>
          <w:szCs w:val="32"/>
        </w:rPr>
        <w:t>不能违反学术道德和社会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价值</w:t>
      </w:r>
      <w:r>
        <w:rPr>
          <w:rFonts w:ascii="仿宋" w:hAnsi="仿宋" w:eastAsia="仿宋" w:cs="仿宋"/>
          <w:color w:val="auto"/>
          <w:sz w:val="32"/>
          <w:szCs w:val="32"/>
        </w:rPr>
        <w:t>伦理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>
      <w:pPr>
        <w:pStyle w:val="2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.鼓励参赛项目与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社会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实践相结合，结合学科优势和专业知识与地方对接、服务社会；</w:t>
      </w:r>
    </w:p>
    <w:p>
      <w:pPr>
        <w:pStyle w:val="2"/>
        <w:ind w:firstLine="64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.各学院（部）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结合自身特色，院（部）内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多个同类型参赛项目建议合并优化，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重点打造一院一品、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择优推荐；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color w:val="auto"/>
          <w:sz w:val="32"/>
          <w:szCs w:val="32"/>
        </w:rPr>
        <w:t>.尚未开展、准备开展的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暂不</w:t>
      </w:r>
      <w:r>
        <w:rPr>
          <w:rFonts w:ascii="仿宋" w:hAnsi="仿宋" w:eastAsia="仿宋" w:cs="仿宋"/>
          <w:color w:val="auto"/>
          <w:sz w:val="32"/>
          <w:szCs w:val="32"/>
        </w:rPr>
        <w:t>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加比</w:t>
      </w:r>
      <w:r>
        <w:rPr>
          <w:rFonts w:ascii="仿宋" w:hAnsi="仿宋" w:eastAsia="仿宋" w:cs="仿宋"/>
          <w:color w:val="auto"/>
          <w:sz w:val="32"/>
          <w:szCs w:val="32"/>
        </w:rPr>
        <w:t>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、大赛程序</w:t>
      </w:r>
    </w:p>
    <w:p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（一）各学院（部）初赛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1.时  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日前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地  点：各学院（部）自行组织选拔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ascii="仿宋" w:hAnsi="仿宋" w:eastAsia="仿宋" w:cs="仿宋"/>
          <w:color w:val="auto"/>
          <w:sz w:val="32"/>
          <w:szCs w:val="32"/>
        </w:rPr>
        <w:t>各学院（部）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积极组织开展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赛</w:t>
      </w:r>
      <w:r>
        <w:rPr>
          <w:rFonts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推荐优秀项目参加校级复赛。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3.各学院（部）于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点前将参赛项目纸质版材料加盖学院公章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报送至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崇智楼205办公室，电子版文件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压缩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包以“学院名称+志愿服务项目大赛”命名发送至QQ邮箱：330244667@qq.com。上交材料为《河南师范大学志愿服务项目大赛申报表》（见附件一）、《河南师范大学志愿服务项目大赛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项目汇总表》（见附件二）、校级复赛现场展示PPT或其他影像资料。大赛组委会将组织专业评审老师对参赛项目进行评审。</w:t>
      </w:r>
    </w:p>
    <w:p>
      <w:pPr>
        <w:spacing w:line="360" w:lineRule="auto"/>
        <w:ind w:firstLine="643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ascii="楷体" w:hAnsi="楷体" w:eastAsia="楷体" w:cs="楷体"/>
          <w:b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学校复赛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1.时  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中旬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地  点：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崇智楼210会议室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2.复赛第一轮评审（纸质评审）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大赛组委会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对各学院（部）推荐的参赛项目进行第一轮评审，拟评选推荐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15-20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个项目参加第二轮评审。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</w:t>
      </w:r>
      <w:r>
        <w:rPr>
          <w:rFonts w:ascii="仿宋" w:hAnsi="仿宋" w:eastAsia="仿宋" w:cs="仿宋"/>
          <w:color w:val="auto"/>
          <w:sz w:val="32"/>
          <w:szCs w:val="32"/>
        </w:rPr>
        <w:t>召开各学院（部）领队会议，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公示进入复赛第二轮项目名单，讲解</w:t>
      </w:r>
      <w:r>
        <w:rPr>
          <w:rFonts w:ascii="仿宋" w:hAnsi="仿宋" w:eastAsia="仿宋" w:cs="仿宋"/>
          <w:color w:val="auto"/>
          <w:sz w:val="32"/>
          <w:szCs w:val="32"/>
        </w:rPr>
        <w:t>复赛注意事宜。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4.复赛第二轮评审（项目展示）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①时  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中旬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②地  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第四会议室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③</w:t>
      </w:r>
      <w:r>
        <w:rPr>
          <w:rFonts w:ascii="仿宋" w:hAnsi="仿宋" w:eastAsia="仿宋" w:cs="仿宋"/>
          <w:color w:val="auto"/>
          <w:sz w:val="32"/>
          <w:szCs w:val="32"/>
        </w:rPr>
        <w:t>各学院（部）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进入复赛第二轮评审的项目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现场项目展示PPT、其他影像资料、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汇报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等相关材料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具体时间另行通知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组委会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对参赛项目进行评审，拟评选推荐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10-12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含教工组和学生组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参加学校决赛。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3.学校决赛</w:t>
      </w:r>
    </w:p>
    <w:p>
      <w:pPr>
        <w:spacing w:line="54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①时  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3月底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地  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音乐厅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②</w:t>
      </w:r>
      <w:r>
        <w:rPr>
          <w:rFonts w:ascii="仿宋" w:hAnsi="仿宋" w:eastAsia="仿宋" w:cs="仿宋"/>
          <w:color w:val="auto"/>
          <w:sz w:val="32"/>
          <w:szCs w:val="32"/>
        </w:rPr>
        <w:t>决赛开始前，召开决赛选手会议，并抽签决定参赛顺序。</w:t>
      </w:r>
    </w:p>
    <w:p>
      <w:pPr>
        <w:pStyle w:val="2"/>
        <w:spacing w:line="540" w:lineRule="exact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决赛采取现场路演的形式开展。</w:t>
      </w:r>
    </w:p>
    <w:p>
      <w:pPr>
        <w:pStyle w:val="2"/>
        <w:spacing w:line="540" w:lineRule="exact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决赛分为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个环节：</w:t>
      </w:r>
    </w:p>
    <w:p>
      <w:pPr>
        <w:pStyle w:val="2"/>
        <w:spacing w:line="540" w:lineRule="exact"/>
        <w:ind w:firstLine="643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第一环节：项目展示</w:t>
      </w:r>
    </w:p>
    <w:p>
      <w:pPr>
        <w:pStyle w:val="2"/>
        <w:spacing w:line="540" w:lineRule="exact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参赛项目负责人在规定时间（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分钟以内）根据需要借助多媒体媒介推介参赛项目（PPT展示汇报、视频宣传推介、语言讲解等形式），充分阐述项目内容、运行开展等情况。</w:t>
      </w:r>
    </w:p>
    <w:p>
      <w:pPr>
        <w:pStyle w:val="2"/>
        <w:spacing w:line="540" w:lineRule="exact"/>
        <w:ind w:firstLine="643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第二环节：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提问答辩</w:t>
      </w:r>
    </w:p>
    <w:p>
      <w:pPr>
        <w:pStyle w:val="2"/>
        <w:spacing w:line="5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评委针对参赛项目负责人阐述情况进行现场提问（1-2个问题），参赛团队现场进行回答互动。评委根据参赛项目及参赛团队表现情况进行打分，前3个项目一起打分，之后对每个项目逐一进行打分。</w:t>
      </w:r>
    </w:p>
    <w:p>
      <w:pPr>
        <w:pStyle w:val="2"/>
        <w:spacing w:line="540" w:lineRule="exact"/>
        <w:ind w:firstLine="643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环节：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评委点评</w:t>
      </w:r>
    </w:p>
    <w:p>
      <w:pPr>
        <w:pStyle w:val="2"/>
        <w:spacing w:line="540" w:lineRule="exact"/>
        <w:ind w:firstLine="64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评比结束后，邀请1-2位评委对参赛项目进行现场点评。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、奖项设置</w:t>
      </w:r>
    </w:p>
    <w:p>
      <w:pPr>
        <w:spacing w:line="540" w:lineRule="exact"/>
        <w:ind w:firstLine="640" w:firstLineChars="200"/>
        <w:rPr>
          <w:rFonts w:hint="eastAsia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本次比赛兼顾项目类别设优秀组织奖、优秀项目奖、优秀个人奖若干。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、其他要求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1.参赛项目内容积极向上，时代主题鲜明，弘扬正能量。</w:t>
      </w:r>
    </w:p>
    <w:p>
      <w:pPr>
        <w:pStyle w:val="2"/>
        <w:spacing w:line="540" w:lineRule="exact"/>
        <w:ind w:firstLine="64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2.决赛路演时，教工组汇报人员为教师，学生组汇报人员为学生。</w:t>
      </w:r>
    </w:p>
    <w:p>
      <w:pPr>
        <w:pStyle w:val="2"/>
        <w:spacing w:line="540" w:lineRule="exact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.若发现参赛项目有违规情况，取消该项目参赛资格，名额作废且不再增补，同时所在学院（部）不得参与优秀组织奖评选。</w:t>
      </w:r>
    </w:p>
    <w:p>
      <w:pPr>
        <w:spacing w:line="360" w:lineRule="auto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.联系人：</w:t>
      </w:r>
      <w:r>
        <w:rPr>
          <w:rFonts w:hint="eastAsia" w:ascii="仿宋" w:hAnsi="仿宋" w:eastAsia="仿宋"/>
          <w:color w:val="auto"/>
          <w:sz w:val="32"/>
          <w:szCs w:val="32"/>
        </w:rPr>
        <w:t>党委宣传部：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陈晚晴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0373-</w:t>
      </w:r>
      <w:r>
        <w:rPr>
          <w:rFonts w:ascii="仿宋" w:hAnsi="仿宋" w:eastAsia="仿宋"/>
          <w:color w:val="auto"/>
          <w:sz w:val="32"/>
          <w:szCs w:val="32"/>
        </w:rPr>
        <w:t>33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28185</w:t>
      </w:r>
    </w:p>
    <w:p>
      <w:pPr>
        <w:spacing w:line="540" w:lineRule="exact"/>
        <w:ind w:firstLine="2240" w:firstLineChars="7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校团委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孙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晓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0373-3329077</w:t>
      </w:r>
    </w:p>
    <w:p>
      <w:pPr>
        <w:spacing w:line="540" w:lineRule="exact"/>
        <w:ind w:firstLine="2240" w:firstLineChars="7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社会事业学院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田嘉玺  </w:t>
      </w:r>
      <w:r>
        <w:rPr>
          <w:rFonts w:hint="eastAsia" w:ascii="仿宋" w:hAnsi="仿宋" w:eastAsia="仿宋"/>
          <w:color w:val="auto"/>
          <w:sz w:val="32"/>
          <w:szCs w:val="32"/>
        </w:rPr>
        <w:t>0373-3328693</w:t>
      </w:r>
    </w:p>
    <w:p>
      <w:pPr>
        <w:spacing w:line="540" w:lineRule="exact"/>
        <w:ind w:firstLine="2240" w:firstLineChars="7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社会事业学院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崔晓晓 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0373-3328693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ko-KR"/>
        </w:rPr>
      </w:pPr>
      <w:bookmarkStart w:id="0" w:name="_Toc4494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其他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ko-KR"/>
        </w:rPr>
        <w:t>未尽事宜，另行通知。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ko-K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ko-KR"/>
        </w:rPr>
        <w:t>大赛组委会拥有本活动的最终解释权。</w:t>
      </w:r>
    </w:p>
    <w:p>
      <w:pPr>
        <w:spacing w:line="540" w:lineRule="exact"/>
        <w:jc w:val="righ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40" w:lineRule="exact"/>
        <w:jc w:val="righ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党委宣传部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jc w:val="center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校文明办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校团委</w:t>
      </w:r>
    </w:p>
    <w:p>
      <w:pPr>
        <w:spacing w:line="360" w:lineRule="auto"/>
        <w:jc w:val="righ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3日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br w:type="page"/>
      </w:r>
    </w:p>
    <w:p>
      <w:pPr>
        <w:spacing w:line="360" w:lineRule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ko-K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一：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河南师范大学志愿服务项目大赛申报表</w:t>
      </w:r>
    </w:p>
    <w:p>
      <w:pPr>
        <w:adjustRightInd w:val="0"/>
        <w:snapToGrid w:val="0"/>
        <w:spacing w:line="100" w:lineRule="exact"/>
        <w:jc w:val="center"/>
        <w:textAlignment w:val="bottom"/>
        <w:rPr>
          <w:rFonts w:ascii="方正大标宋简体" w:hAnsi="方正大标宋简体" w:eastAsia="方正大标宋简体" w:cs="方正大标宋简体"/>
          <w:b/>
          <w:bCs/>
          <w:color w:val="auto"/>
          <w:sz w:val="40"/>
          <w:szCs w:val="40"/>
        </w:rPr>
      </w:pPr>
    </w:p>
    <w:tbl>
      <w:tblPr>
        <w:tblStyle w:val="8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30"/>
        <w:gridCol w:w="1422"/>
        <w:gridCol w:w="14"/>
        <w:gridCol w:w="930"/>
        <w:gridCol w:w="1187"/>
        <w:gridCol w:w="1124"/>
        <w:gridCol w:w="603"/>
        <w:gridCol w:w="31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申报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参赛组别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□教工组  □学生组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项目类别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textAlignment w:val="bottom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□理论宣讲  □乡村振兴  □生态环保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□安全宣传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bottom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□卫生健康  □文化文艺  □科技助农  □法律服务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bottom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□助学支教  □科技科普  □孝善敬老  □关爱未成年人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bottom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□移风易俗  □扶贫帮困  □阳光助残  □应急救援</w:t>
            </w:r>
          </w:p>
          <w:p>
            <w:pPr>
              <w:adjustRightInd w:val="0"/>
              <w:snapToGrid w:val="0"/>
              <w:spacing w:line="360" w:lineRule="exact"/>
              <w:jc w:val="left"/>
              <w:textAlignment w:val="bottom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对象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受益人数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项目实施时间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2020--2023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1"/>
                <w:sz w:val="24"/>
                <w:szCs w:val="24"/>
              </w:rPr>
              <w:t>参与志愿者人数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总人数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pacing w:val="-11"/>
                <w:sz w:val="24"/>
                <w:szCs w:val="24"/>
              </w:rPr>
              <w:t>团队核心人数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申报单位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曾获何种奖励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（限填三个）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eastAsia="仿宋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</w:rPr>
              <w:t>二、项目详细信息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1. 项目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简介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（300字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4"/>
                <w:szCs w:val="24"/>
              </w:rPr>
              <w:t>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8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. 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背景</w:t>
            </w:r>
          </w:p>
        </w:tc>
        <w:tc>
          <w:tcPr>
            <w:tcW w:w="73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4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项目目标</w:t>
            </w:r>
          </w:p>
        </w:tc>
        <w:tc>
          <w:tcPr>
            <w:tcW w:w="73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6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项目实施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2020年和2021年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活动情况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活动内容、时间、地点、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形式、参与人数等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活动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活动一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活动二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活动三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2022年和2023年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活动情况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活动内容、时间、地点、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形式、参与人数等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活动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活动一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活动二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活动三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项目实施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以来取得的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  <w:t>主要成果</w:t>
            </w:r>
          </w:p>
        </w:tc>
        <w:tc>
          <w:tcPr>
            <w:tcW w:w="73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textAlignment w:val="bottom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textAlignment w:val="bottom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textAlignment w:val="bottom"/>
              <w:rPr>
                <w:color w:val="auto"/>
              </w:rPr>
            </w:pP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textAlignment w:val="bottom"/>
              <w:rPr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仿宋"/>
                <w:color w:val="auto"/>
              </w:rPr>
            </w:pPr>
          </w:p>
          <w:p>
            <w:pPr>
              <w:pStyle w:val="2"/>
              <w:ind w:firstLine="0" w:firstLineChars="0"/>
              <w:rPr>
                <w:rFonts w:ascii="Times New Roman" w:hAnsi="Times New Roman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 w:cs="Times New Roman"/>
                <w:b/>
                <w:bCs/>
                <w:color w:val="auto"/>
                <w:spacing w:val="-17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spacing w:val="-17"/>
                <w:sz w:val="24"/>
                <w:szCs w:val="24"/>
              </w:rPr>
              <w:t>学院（部）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pacing w:val="-17"/>
                <w:sz w:val="24"/>
                <w:szCs w:val="24"/>
              </w:rPr>
              <w:t>意见</w:t>
            </w:r>
          </w:p>
        </w:tc>
        <w:tc>
          <w:tcPr>
            <w:tcW w:w="73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color w:val="auto"/>
          <w:sz w:val="32"/>
          <w:szCs w:val="32"/>
          <w:lang w:eastAsia="ko-K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ko-K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二：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河南师范大学志愿服务项目大赛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项目汇总表</w:t>
      </w:r>
    </w:p>
    <w:p>
      <w:pPr>
        <w:pStyle w:val="2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推荐单位：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（盖章）        联系人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    联系方式：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</w:p>
    <w:tbl>
      <w:tblPr>
        <w:tblStyle w:val="8"/>
        <w:tblW w:w="14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75"/>
        <w:gridCol w:w="1620"/>
        <w:gridCol w:w="1680"/>
        <w:gridCol w:w="2565"/>
        <w:gridCol w:w="2385"/>
        <w:gridCol w:w="3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项目类别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参赛组别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项目负责人及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指导老师及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团队核心成员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</w:tbl>
    <w:p>
      <w:pPr>
        <w:pStyle w:val="2"/>
        <w:ind w:firstLine="0" w:firstLineChars="0"/>
        <w:rPr>
          <w:rFonts w:ascii="宋体" w:hAnsi="宋体"/>
          <w:color w:val="auto"/>
          <w:sz w:val="28"/>
          <w:szCs w:val="28"/>
        </w:rPr>
      </w:pPr>
    </w:p>
    <w:bookmarkEnd w:id="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mZDMyNTMxYTMwZmRhMmQ0OTA4M2U4N2M3ZWY3MTAifQ=="/>
  </w:docVars>
  <w:rsids>
    <w:rsidRoot w:val="006A1DC5"/>
    <w:rsid w:val="00066D12"/>
    <w:rsid w:val="000E7E1D"/>
    <w:rsid w:val="001F079D"/>
    <w:rsid w:val="00311ECA"/>
    <w:rsid w:val="00350E0B"/>
    <w:rsid w:val="003962E2"/>
    <w:rsid w:val="003B03F1"/>
    <w:rsid w:val="003B6FAC"/>
    <w:rsid w:val="00401B05"/>
    <w:rsid w:val="004446C9"/>
    <w:rsid w:val="004A1DBE"/>
    <w:rsid w:val="005A5153"/>
    <w:rsid w:val="00631FD4"/>
    <w:rsid w:val="00653D62"/>
    <w:rsid w:val="006A1DC5"/>
    <w:rsid w:val="00844379"/>
    <w:rsid w:val="00872C1F"/>
    <w:rsid w:val="00921042"/>
    <w:rsid w:val="009D682B"/>
    <w:rsid w:val="00AA33B9"/>
    <w:rsid w:val="00B0522D"/>
    <w:rsid w:val="00B22191"/>
    <w:rsid w:val="00B66426"/>
    <w:rsid w:val="00BC396E"/>
    <w:rsid w:val="00C73DB5"/>
    <w:rsid w:val="00D86528"/>
    <w:rsid w:val="00E55CBD"/>
    <w:rsid w:val="00E7174D"/>
    <w:rsid w:val="00F83DC4"/>
    <w:rsid w:val="00F84B28"/>
    <w:rsid w:val="00FE58BD"/>
    <w:rsid w:val="0224362A"/>
    <w:rsid w:val="03032C00"/>
    <w:rsid w:val="03355971"/>
    <w:rsid w:val="036D2E52"/>
    <w:rsid w:val="03C574EA"/>
    <w:rsid w:val="054A784B"/>
    <w:rsid w:val="056904F9"/>
    <w:rsid w:val="05AE0443"/>
    <w:rsid w:val="05E355AA"/>
    <w:rsid w:val="05ED1DAA"/>
    <w:rsid w:val="070829EF"/>
    <w:rsid w:val="077741FC"/>
    <w:rsid w:val="0852788F"/>
    <w:rsid w:val="0A1508F4"/>
    <w:rsid w:val="0A6F22B3"/>
    <w:rsid w:val="0BA31A63"/>
    <w:rsid w:val="0D796E8E"/>
    <w:rsid w:val="0DCE79BE"/>
    <w:rsid w:val="0EBD048D"/>
    <w:rsid w:val="0ED9287F"/>
    <w:rsid w:val="100D0036"/>
    <w:rsid w:val="10C50985"/>
    <w:rsid w:val="10C65BA6"/>
    <w:rsid w:val="10EB0491"/>
    <w:rsid w:val="123D6042"/>
    <w:rsid w:val="126D1873"/>
    <w:rsid w:val="12D46851"/>
    <w:rsid w:val="15787ABD"/>
    <w:rsid w:val="15C9656A"/>
    <w:rsid w:val="16B7106E"/>
    <w:rsid w:val="18AF1E06"/>
    <w:rsid w:val="18CD6371"/>
    <w:rsid w:val="18DD0052"/>
    <w:rsid w:val="19975A53"/>
    <w:rsid w:val="1AC6751C"/>
    <w:rsid w:val="1B397CEE"/>
    <w:rsid w:val="1B6B3384"/>
    <w:rsid w:val="1C7275BB"/>
    <w:rsid w:val="1D4A424C"/>
    <w:rsid w:val="1DB16262"/>
    <w:rsid w:val="1E7C5B7D"/>
    <w:rsid w:val="1F780DC2"/>
    <w:rsid w:val="1FB9549A"/>
    <w:rsid w:val="1FC30F3E"/>
    <w:rsid w:val="1FE67D19"/>
    <w:rsid w:val="201C7D0B"/>
    <w:rsid w:val="21617AC4"/>
    <w:rsid w:val="22E569AE"/>
    <w:rsid w:val="232C6D74"/>
    <w:rsid w:val="24B61A1F"/>
    <w:rsid w:val="25ED5A82"/>
    <w:rsid w:val="26583DB5"/>
    <w:rsid w:val="275058B3"/>
    <w:rsid w:val="278C4AF4"/>
    <w:rsid w:val="291D29FD"/>
    <w:rsid w:val="2A61352F"/>
    <w:rsid w:val="2A9F5694"/>
    <w:rsid w:val="2ADA66CC"/>
    <w:rsid w:val="2B1A1C7D"/>
    <w:rsid w:val="2BEC66B7"/>
    <w:rsid w:val="2C92758D"/>
    <w:rsid w:val="2CAB6572"/>
    <w:rsid w:val="2CC9094A"/>
    <w:rsid w:val="2D276029"/>
    <w:rsid w:val="2D58590C"/>
    <w:rsid w:val="2DC024C0"/>
    <w:rsid w:val="2EE87609"/>
    <w:rsid w:val="2F8B465E"/>
    <w:rsid w:val="307D0225"/>
    <w:rsid w:val="30D13160"/>
    <w:rsid w:val="30DF4ACF"/>
    <w:rsid w:val="315E3BB3"/>
    <w:rsid w:val="329F2F5B"/>
    <w:rsid w:val="33374D60"/>
    <w:rsid w:val="345117AD"/>
    <w:rsid w:val="36EE6B9D"/>
    <w:rsid w:val="386853D4"/>
    <w:rsid w:val="39875C71"/>
    <w:rsid w:val="3A713A5A"/>
    <w:rsid w:val="3A9A4371"/>
    <w:rsid w:val="3B003F2D"/>
    <w:rsid w:val="3B092F34"/>
    <w:rsid w:val="3D9B618F"/>
    <w:rsid w:val="3F3C4311"/>
    <w:rsid w:val="3FF44AD7"/>
    <w:rsid w:val="41B31CF9"/>
    <w:rsid w:val="444E6376"/>
    <w:rsid w:val="44811C0A"/>
    <w:rsid w:val="449700FC"/>
    <w:rsid w:val="455C6204"/>
    <w:rsid w:val="456357E4"/>
    <w:rsid w:val="45EF1593"/>
    <w:rsid w:val="463F15E7"/>
    <w:rsid w:val="46537607"/>
    <w:rsid w:val="46EA3534"/>
    <w:rsid w:val="471F573B"/>
    <w:rsid w:val="4A875AD1"/>
    <w:rsid w:val="4C0118B3"/>
    <w:rsid w:val="4FB434ED"/>
    <w:rsid w:val="51D6733E"/>
    <w:rsid w:val="51FC6DA0"/>
    <w:rsid w:val="531A4D1D"/>
    <w:rsid w:val="545A2CE4"/>
    <w:rsid w:val="55432D18"/>
    <w:rsid w:val="561013C7"/>
    <w:rsid w:val="569F23F4"/>
    <w:rsid w:val="575F5A99"/>
    <w:rsid w:val="58A17DC1"/>
    <w:rsid w:val="5B8D192D"/>
    <w:rsid w:val="5C272A21"/>
    <w:rsid w:val="5EE828E5"/>
    <w:rsid w:val="60455CA6"/>
    <w:rsid w:val="61683B89"/>
    <w:rsid w:val="621F43E9"/>
    <w:rsid w:val="62CA6A4B"/>
    <w:rsid w:val="63754713"/>
    <w:rsid w:val="64C82C21"/>
    <w:rsid w:val="64DF2D8E"/>
    <w:rsid w:val="65260C48"/>
    <w:rsid w:val="65975EE4"/>
    <w:rsid w:val="65DF280D"/>
    <w:rsid w:val="6638520C"/>
    <w:rsid w:val="67EE16A9"/>
    <w:rsid w:val="682269E1"/>
    <w:rsid w:val="69B47B0D"/>
    <w:rsid w:val="69DE54F7"/>
    <w:rsid w:val="69F964D3"/>
    <w:rsid w:val="6A890F99"/>
    <w:rsid w:val="6AC326FD"/>
    <w:rsid w:val="6B376C47"/>
    <w:rsid w:val="6CB84909"/>
    <w:rsid w:val="6CDC2EEB"/>
    <w:rsid w:val="6D162FB8"/>
    <w:rsid w:val="6E0A6038"/>
    <w:rsid w:val="6ED722D3"/>
    <w:rsid w:val="6F977CB5"/>
    <w:rsid w:val="6FFD3FBC"/>
    <w:rsid w:val="70530112"/>
    <w:rsid w:val="70B53C03"/>
    <w:rsid w:val="712E09C9"/>
    <w:rsid w:val="72645A24"/>
    <w:rsid w:val="747043FB"/>
    <w:rsid w:val="74EE0F8F"/>
    <w:rsid w:val="75BC0475"/>
    <w:rsid w:val="79507745"/>
    <w:rsid w:val="7B7C6D70"/>
    <w:rsid w:val="7C4F3DF1"/>
    <w:rsid w:val="7C513345"/>
    <w:rsid w:val="7CF078C5"/>
    <w:rsid w:val="7FC44888"/>
    <w:rsid w:val="7FE5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line="594" w:lineRule="exact"/>
      <w:textAlignment w:val="center"/>
      <w:outlineLvl w:val="0"/>
    </w:pPr>
    <w:rPr>
      <w:rFonts w:ascii="Times New Roman" w:hAnsi="Times New Roman" w:eastAsia="方正大标宋简体" w:cs="Times New Roman"/>
      <w:kern w:val="0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正文文本缩进1"/>
    <w:basedOn w:val="4"/>
    <w:qFormat/>
    <w:uiPriority w:val="0"/>
    <w:pPr>
      <w:spacing w:line="150" w:lineRule="atLeast"/>
      <w:ind w:firstLine="420" w:firstLineChars="200"/>
      <w:textAlignment w:val="baseline"/>
    </w:pPr>
  </w:style>
  <w:style w:type="paragraph" w:customStyle="1" w:styleId="4">
    <w:name w:val="正文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/>
      <w:sz w:val="18"/>
      <w:szCs w:val="18"/>
      <w:lang w:eastAsia="en-US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2016</Words>
  <Characters>2156</Characters>
  <Lines>32</Lines>
  <Paragraphs>9</Paragraphs>
  <TotalTime>48</TotalTime>
  <ScaleCrop>false</ScaleCrop>
  <LinksUpToDate>false</LinksUpToDate>
  <CharactersWithSpaces>2352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2022-09-27T12:39:00Z</dcterms:created>
  <dc:creator>牛梓萍</dc:creator>
  <cp:lastModifiedBy>晚晴</cp:lastModifiedBy>
  <cp:lastPrinted>2023-03-03T01:13:00Z</cp:lastPrinted>
  <dcterms:modified xsi:type="dcterms:W3CDTF">2023-03-03T03:42:23Z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D74849A0D72E441785F7DA3B5A11FBCD</vt:lpwstr>
  </property>
</Properties>
</file>