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Calibri" w:eastAsia="方正小标宋简体" w:cs="Times New Roman"/>
          <w:sz w:val="44"/>
          <w:szCs w:val="44"/>
        </w:rPr>
      </w:pPr>
      <w:bookmarkStart w:id="0" w:name="_GoBack"/>
      <w:r>
        <w:rPr>
          <w:rFonts w:ascii="方正小标宋简体" w:hAnsi="Calibri" w:eastAsia="方正小标宋简体" w:cs="Times New Roman"/>
          <w:sz w:val="44"/>
          <w:szCs w:val="44"/>
        </w:rPr>
        <w:t>中国工程科技发展战略河南研究院</w:t>
      </w:r>
    </w:p>
    <w:p>
      <w:pPr>
        <w:snapToGrid w:val="0"/>
        <w:jc w:val="center"/>
        <w:rPr>
          <w:rFonts w:ascii="方正小标宋简体" w:hAnsi="Calibri" w:eastAsia="方正小标宋简体" w:cs="Times New Roman"/>
          <w:sz w:val="44"/>
          <w:szCs w:val="44"/>
        </w:rPr>
      </w:pPr>
      <w:r>
        <w:rPr>
          <w:rFonts w:ascii="方正小标宋简体" w:hAnsi="Calibri" w:eastAsia="方正小标宋简体" w:cs="Times New Roman"/>
          <w:sz w:val="44"/>
          <w:szCs w:val="44"/>
        </w:rPr>
        <w:t>2020年咨询研究项目指南</w:t>
      </w:r>
    </w:p>
    <w:bookmarkEnd w:id="0"/>
    <w:p>
      <w:pPr>
        <w:ind w:firstLine="420" w:firstLineChars="200"/>
        <w:rPr>
          <w:rFonts w:ascii="Times New Roman" w:hAnsi="Times New Roman" w:cs="Times New Roman"/>
        </w:rPr>
      </w:pP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为进一步推进</w:t>
      </w:r>
      <w:r>
        <w:rPr>
          <w:rFonts w:hint="eastAsia" w:ascii="仿宋_GB2312" w:hAnsi="Calibri" w:eastAsia="仿宋_GB2312" w:cs="Times New Roman"/>
          <w:sz w:val="32"/>
          <w:szCs w:val="32"/>
        </w:rPr>
        <w:t>中国工程科技发展战略河南研究院（以下简称“河南研究院”）</w:t>
      </w:r>
      <w:r>
        <w:rPr>
          <w:rFonts w:ascii="仿宋_GB2312" w:hAnsi="Calibri" w:eastAsia="仿宋_GB2312" w:cs="Times New Roman"/>
          <w:sz w:val="32"/>
          <w:szCs w:val="32"/>
        </w:rPr>
        <w:t>区域性工程科技高端智库建设</w:t>
      </w:r>
      <w:r>
        <w:rPr>
          <w:rFonts w:hint="eastAsia" w:ascii="仿宋_GB2312" w:hAnsi="Calibri" w:eastAsia="仿宋_GB2312" w:cs="Times New Roman"/>
          <w:sz w:val="32"/>
          <w:szCs w:val="32"/>
        </w:rPr>
        <w:t>，</w:t>
      </w:r>
      <w:r>
        <w:rPr>
          <w:rFonts w:ascii="仿宋_GB2312" w:hAnsi="Calibri" w:eastAsia="仿宋_GB2312" w:cs="Times New Roman"/>
          <w:sz w:val="32"/>
          <w:szCs w:val="32"/>
        </w:rPr>
        <w:t>规范咨询研究项目选题，提高咨询研究质量，围绕</w:t>
      </w:r>
      <w:r>
        <w:rPr>
          <w:rFonts w:hint="eastAsia" w:ascii="仿宋_GB2312" w:hAnsi="Calibri" w:eastAsia="仿宋_GB2312" w:cs="Times New Roman"/>
          <w:sz w:val="32"/>
          <w:szCs w:val="32"/>
        </w:rPr>
        <w:t>地方行业产业重大需求、重大关键工程科技问题，</w:t>
      </w:r>
      <w:r>
        <w:rPr>
          <w:rFonts w:ascii="仿宋_GB2312" w:hAnsi="Calibri" w:eastAsia="仿宋_GB2312" w:cs="Times New Roman"/>
          <w:sz w:val="32"/>
          <w:szCs w:val="32"/>
        </w:rPr>
        <w:t>开展</w:t>
      </w:r>
      <w:r>
        <w:rPr>
          <w:rFonts w:hint="eastAsia" w:ascii="仿宋_GB2312" w:hAnsi="Calibri" w:eastAsia="仿宋_GB2312" w:cs="Times New Roman"/>
          <w:sz w:val="32"/>
          <w:szCs w:val="32"/>
        </w:rPr>
        <w:t>工程科技战略</w:t>
      </w:r>
      <w:r>
        <w:rPr>
          <w:rFonts w:ascii="仿宋_GB2312" w:hAnsi="Calibri" w:eastAsia="仿宋_GB2312" w:cs="Times New Roman"/>
          <w:sz w:val="32"/>
          <w:szCs w:val="32"/>
        </w:rPr>
        <w:t>咨询研究，为</w:t>
      </w:r>
      <w:r>
        <w:rPr>
          <w:rFonts w:hint="eastAsia" w:ascii="仿宋_GB2312" w:hAnsi="Calibri" w:eastAsia="仿宋_GB2312"/>
          <w:sz w:val="32"/>
          <w:szCs w:val="32"/>
        </w:rPr>
        <w:t>地方党委、政府提供决策支撑，并针对关键领域和“卡脖子”问题开展联合攻关，推动产业转型升级和地方经济社会高质量发展，</w:t>
      </w:r>
      <w:r>
        <w:rPr>
          <w:rFonts w:hint="eastAsia" w:ascii="仿宋_GB2312" w:hAnsi="Calibri" w:eastAsia="仿宋_GB2312" w:cs="Times New Roman"/>
          <w:sz w:val="32"/>
          <w:szCs w:val="32"/>
        </w:rPr>
        <w:t>根据《中国工程院关于印发&lt;关于加强中国工程科技发展战略地方研究院工作的指导意见（暂行）</w:t>
      </w:r>
      <w:r>
        <w:rPr>
          <w:rFonts w:ascii="仿宋_GB2312" w:hAnsi="Calibri" w:eastAsia="仿宋_GB2312" w:cs="Times New Roman"/>
          <w:sz w:val="32"/>
          <w:szCs w:val="32"/>
        </w:rPr>
        <w:t>&gt;</w:t>
      </w:r>
      <w:r>
        <w:rPr>
          <w:rFonts w:hint="eastAsia" w:ascii="仿宋_GB2312" w:hAnsi="Calibri" w:eastAsia="仿宋_GB2312" w:cs="Times New Roman"/>
          <w:sz w:val="32"/>
          <w:szCs w:val="32"/>
        </w:rPr>
        <w:t>的通知》（中工发[</w:t>
      </w:r>
      <w:r>
        <w:rPr>
          <w:rFonts w:ascii="仿宋_GB2312" w:hAnsi="Calibri" w:eastAsia="仿宋_GB2312" w:cs="Times New Roman"/>
          <w:sz w:val="32"/>
          <w:szCs w:val="32"/>
        </w:rPr>
        <w:t>2019]38</w:t>
      </w:r>
      <w:r>
        <w:rPr>
          <w:rFonts w:hint="eastAsia" w:ascii="仿宋_GB2312" w:hAnsi="Calibri" w:eastAsia="仿宋_GB2312" w:cs="Times New Roman"/>
          <w:sz w:val="32"/>
          <w:szCs w:val="32"/>
        </w:rPr>
        <w:t>号）精神，</w:t>
      </w:r>
      <w:r>
        <w:rPr>
          <w:rFonts w:ascii="仿宋_GB2312" w:hAnsi="Calibri" w:eastAsia="仿宋_GB2312" w:cs="Times New Roman"/>
          <w:sz w:val="32"/>
          <w:szCs w:val="32"/>
        </w:rPr>
        <w:t>组织编制了《中国工程科技发展战略河南研究院2020年咨询研究项目指南》，作为2020年咨询研究项目申请</w:t>
      </w:r>
      <w:r>
        <w:rPr>
          <w:rFonts w:hint="eastAsia" w:ascii="仿宋_GB2312" w:hAnsi="Calibri" w:eastAsia="仿宋_GB2312" w:cs="Times New Roman"/>
          <w:sz w:val="32"/>
          <w:szCs w:val="32"/>
        </w:rPr>
        <w:t>和</w:t>
      </w:r>
      <w:r>
        <w:rPr>
          <w:rFonts w:ascii="仿宋_GB2312" w:hAnsi="Calibri" w:eastAsia="仿宋_GB2312" w:cs="Times New Roman"/>
          <w:sz w:val="32"/>
          <w:szCs w:val="32"/>
        </w:rPr>
        <w:t>评审的重要依据。</w:t>
      </w:r>
    </w:p>
    <w:p>
      <w:pPr>
        <w:adjustRightInd w:val="0"/>
        <w:snapToGrid w:val="0"/>
        <w:spacing w:line="360" w:lineRule="auto"/>
        <w:jc w:val="center"/>
        <w:rPr>
          <w:rFonts w:ascii="黑体" w:hAnsi="黑体" w:eastAsia="黑体" w:cs="Times New Roman"/>
          <w:sz w:val="32"/>
          <w:szCs w:val="32"/>
        </w:rPr>
      </w:pPr>
      <w:r>
        <w:rPr>
          <w:rFonts w:ascii="黑体" w:hAnsi="黑体" w:eastAsia="黑体" w:cs="Times New Roman"/>
          <w:sz w:val="32"/>
          <w:szCs w:val="32"/>
        </w:rPr>
        <w:t>一、申</w:t>
      </w:r>
      <w:r>
        <w:rPr>
          <w:rFonts w:hint="eastAsia" w:ascii="黑体" w:hAnsi="黑体" w:eastAsia="黑体" w:cs="Times New Roman"/>
          <w:sz w:val="32"/>
          <w:szCs w:val="32"/>
        </w:rPr>
        <w:t>请</w:t>
      </w:r>
      <w:r>
        <w:rPr>
          <w:rFonts w:ascii="黑体" w:hAnsi="黑体" w:eastAsia="黑体" w:cs="Times New Roman"/>
          <w:sz w:val="32"/>
          <w:szCs w:val="32"/>
        </w:rPr>
        <w:t>主体</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中国工程院院士</w:t>
      </w:r>
      <w:r>
        <w:rPr>
          <w:rFonts w:hint="eastAsia" w:ascii="仿宋_GB2312" w:hAnsi="Calibri" w:eastAsia="仿宋_GB2312" w:cs="Times New Roman"/>
          <w:sz w:val="32"/>
          <w:szCs w:val="32"/>
        </w:rPr>
        <w:t>，或该领域知名专家。</w:t>
      </w:r>
      <w:r>
        <w:rPr>
          <w:rFonts w:hint="eastAsia" w:ascii="仿宋_GB2312" w:hAnsi="Calibri" w:eastAsia="仿宋_GB2312"/>
          <w:sz w:val="32"/>
          <w:szCs w:val="32"/>
        </w:rPr>
        <w:t>同一申请人申请</w:t>
      </w:r>
      <w:r>
        <w:rPr>
          <w:rFonts w:ascii="仿宋_GB2312" w:hAnsi="Calibri" w:eastAsia="仿宋_GB2312"/>
          <w:sz w:val="32"/>
          <w:szCs w:val="32"/>
        </w:rPr>
        <w:t>2020年</w:t>
      </w:r>
      <w:r>
        <w:rPr>
          <w:rFonts w:hint="eastAsia" w:ascii="仿宋_GB2312" w:hAnsi="Calibri" w:eastAsia="仿宋_GB2312"/>
          <w:sz w:val="32"/>
          <w:szCs w:val="32"/>
        </w:rPr>
        <w:t>度</w:t>
      </w:r>
      <w:r>
        <w:rPr>
          <w:rFonts w:ascii="仿宋_GB2312" w:hAnsi="Calibri" w:eastAsia="仿宋_GB2312"/>
          <w:sz w:val="32"/>
          <w:szCs w:val="32"/>
        </w:rPr>
        <w:t>项目的数量</w:t>
      </w:r>
      <w:r>
        <w:rPr>
          <w:rFonts w:hint="eastAsia" w:ascii="仿宋_GB2312" w:hAnsi="Calibri" w:eastAsia="仿宋_GB2312"/>
          <w:sz w:val="32"/>
          <w:szCs w:val="32"/>
        </w:rPr>
        <w:t>不得</w:t>
      </w:r>
      <w:r>
        <w:rPr>
          <w:rFonts w:ascii="仿宋_GB2312" w:hAnsi="Calibri" w:eastAsia="仿宋_GB2312"/>
          <w:sz w:val="32"/>
          <w:szCs w:val="32"/>
        </w:rPr>
        <w:t>超过1项。</w:t>
      </w:r>
    </w:p>
    <w:p>
      <w:pPr>
        <w:adjustRightInd w:val="0"/>
        <w:snapToGrid w:val="0"/>
        <w:spacing w:line="360" w:lineRule="auto"/>
        <w:jc w:val="center"/>
        <w:rPr>
          <w:rFonts w:ascii="黑体" w:hAnsi="黑体" w:eastAsia="黑体" w:cs="Times New Roman"/>
          <w:sz w:val="32"/>
          <w:szCs w:val="32"/>
        </w:rPr>
      </w:pPr>
      <w:r>
        <w:rPr>
          <w:rFonts w:ascii="黑体" w:hAnsi="黑体" w:eastAsia="黑体" w:cs="Times New Roman"/>
          <w:sz w:val="32"/>
          <w:szCs w:val="32"/>
        </w:rPr>
        <w:t>二、项目</w:t>
      </w:r>
      <w:r>
        <w:rPr>
          <w:rFonts w:hint="eastAsia" w:ascii="黑体" w:hAnsi="黑体" w:eastAsia="黑体" w:cs="Times New Roman"/>
          <w:sz w:val="32"/>
          <w:szCs w:val="32"/>
        </w:rPr>
        <w:t>性质和</w:t>
      </w:r>
      <w:r>
        <w:rPr>
          <w:rFonts w:ascii="黑体" w:hAnsi="黑体" w:eastAsia="黑体" w:cs="Times New Roman"/>
          <w:sz w:val="32"/>
          <w:szCs w:val="32"/>
        </w:rPr>
        <w:t>类别</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在项目培育、评审、立项和项目具体实施过程中，应按照“服务决策，适度超前”的总体要求，本着“战略思维、产业对接、企业（院所）落地”的原则，针对河南区域，密切关注国家和世界工程科技发展的战略新动向、新进展，瞄准先进的工程科学技术，聚焦河南关键行业、重点产业中的重大工程技术问题，提出具有针对性、建设性的对策建议，并实施科技成果转移转化，促进产学研用深度融合，努力实现“为政府决策提供咨询和参考，为行业发展提供指导性建议，为企业科技攻关和解决重大技术难题提供技术支持,为引智入豫搭建桥梁”的目标。咨询研究项目的研究内容及目标、预期达到的目的、成果形式等须符合上述性质和定位。</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咨询研究项目按照所涉及的领域和规模</w:t>
      </w:r>
      <w:r>
        <w:rPr>
          <w:rFonts w:hint="eastAsia" w:ascii="仿宋_GB2312" w:hAnsi="Calibri" w:eastAsia="仿宋_GB2312" w:cs="Times New Roman"/>
          <w:sz w:val="32"/>
          <w:szCs w:val="32"/>
        </w:rPr>
        <w:t>，</w:t>
      </w:r>
      <w:r>
        <w:rPr>
          <w:rFonts w:ascii="仿宋_GB2312" w:hAnsi="Calibri" w:eastAsia="仿宋_GB2312" w:cs="Times New Roman"/>
          <w:sz w:val="32"/>
          <w:szCs w:val="32"/>
        </w:rPr>
        <w:t>分为重大咨询研究项目、重点咨询研究项目和专题咨询研究项目</w:t>
      </w:r>
      <w:r>
        <w:rPr>
          <w:rFonts w:hint="eastAsia" w:ascii="仿宋_GB2312" w:hAnsi="Calibri" w:eastAsia="仿宋_GB2312" w:cs="Times New Roman"/>
          <w:sz w:val="32"/>
          <w:szCs w:val="32"/>
        </w:rPr>
        <w:t>等三个类型</w:t>
      </w:r>
      <w:r>
        <w:rPr>
          <w:rFonts w:ascii="仿宋_GB2312" w:hAnsi="Calibri" w:eastAsia="仿宋_GB2312" w:cs="Times New Roman"/>
          <w:sz w:val="32"/>
          <w:szCs w:val="32"/>
        </w:rPr>
        <w:t>（分别简称为重大项目、重点项目和专题项目）。</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1.重大项目。聚焦河南省经济社会发展中的全局性重大工程科技问题组织开展的战略性、前瞻性、综合性的咨询研究项目，原则上须有不少于5位院士参加，研究周期不超过2年，项目经费为100-200万元。</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2.重点项目。聚焦河南省重点领域及行业内的重点问题组织开展的战略性、前瞻性、针对性咨询研究项目，原则上须有不少于3位院士参加，研究周期不超过2年，项目经费为50-100万元。</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3.专题项目。聚焦区域性重大工程科技问题组织开展的战略性、针对性咨询研究项目，研究周期不</w:t>
      </w:r>
      <w:r>
        <w:rPr>
          <w:rFonts w:ascii="仿宋_GB2312" w:hAnsi="Calibri" w:eastAsia="仿宋_GB2312" w:cs="Times New Roman"/>
          <w:color w:val="000000" w:themeColor="text1"/>
          <w:sz w:val="32"/>
          <w:szCs w:val="32"/>
          <w14:textFill>
            <w14:solidFill>
              <w14:schemeClr w14:val="tx1"/>
            </w14:solidFill>
          </w14:textFill>
        </w:rPr>
        <w:t>超过1年</w:t>
      </w:r>
      <w:r>
        <w:rPr>
          <w:rFonts w:ascii="仿宋_GB2312" w:hAnsi="Calibri" w:eastAsia="仿宋_GB2312" w:cs="Times New Roman"/>
          <w:sz w:val="32"/>
          <w:szCs w:val="32"/>
        </w:rPr>
        <w:t>，项目经费20-50万元。</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重大和重点咨询研究项目可下设少量课题，专题咨询研究项目不下设课题。</w:t>
      </w:r>
    </w:p>
    <w:p>
      <w:pPr>
        <w:adjustRightInd w:val="0"/>
        <w:snapToGrid w:val="0"/>
        <w:spacing w:line="360" w:lineRule="auto"/>
        <w:jc w:val="center"/>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选题方向</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河南省国民经济和社会发展第十三个五年规划纲要》，“大力发展新技术新产业新业态新模式，建设先进制造业大省、高成长服务业大省、现代农业大省、网络经济大省，塑造产业竞争新优势”，是十三五期间我省经济社会发展的战略新导向，提出通过突出壮大优势主导产业、积极培育战略性新兴产业、加快传统产业转型升级等措施，着力构建产业发展新体系。</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现针对上述三个层面涉及的产业领域和其他相关领域发布战略咨询研究项目建议指南，欢迎符合条件的科学技术人员根据自身的研究工作基础，选择一个领域中的某个主要研究方向展开研究，或跨领域选择某个方向进行系统综合研究。</w:t>
      </w:r>
    </w:p>
    <w:p>
      <w:pPr>
        <w:adjustRightInd w:val="0"/>
        <w:snapToGrid w:val="0"/>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一、优势主导产业领域</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装备制造、食品加工、新型材料制造、电子制造、汽车制造等。</w:t>
      </w:r>
    </w:p>
    <w:p>
      <w:pPr>
        <w:adjustRightInd w:val="0"/>
        <w:snapToGrid w:val="0"/>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二、战略性新兴产业领域</w:t>
      </w:r>
    </w:p>
    <w:p>
      <w:pPr>
        <w:adjustRightInd w:val="0"/>
        <w:snapToGrid w:val="0"/>
        <w:spacing w:line="360" w:lineRule="auto"/>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生物医药、先进材料、先进机器人、储能和动力电池</w:t>
      </w:r>
      <w:r>
        <w:rPr>
          <w:rFonts w:hint="eastAsia" w:ascii="仿宋_GB2312" w:hAnsi="Calibri" w:eastAsia="仿宋_GB2312" w:cs="Times New Roman"/>
          <w:sz w:val="32"/>
          <w:szCs w:val="32"/>
        </w:rPr>
        <w:t>、</w:t>
      </w:r>
      <w:r>
        <w:rPr>
          <w:rFonts w:ascii="仿宋_GB2312" w:hAnsi="Calibri" w:eastAsia="仿宋_GB2312" w:cs="Times New Roman"/>
          <w:sz w:val="32"/>
          <w:szCs w:val="32"/>
        </w:rPr>
        <w:t>物联网、基因</w:t>
      </w:r>
      <w:r>
        <w:rPr>
          <w:rFonts w:hint="eastAsia" w:ascii="仿宋_GB2312" w:hAnsi="Calibri" w:eastAsia="仿宋_GB2312" w:cs="Times New Roman"/>
          <w:sz w:val="32"/>
          <w:szCs w:val="32"/>
        </w:rPr>
        <w:t>工程</w:t>
      </w:r>
      <w:r>
        <w:rPr>
          <w:rFonts w:ascii="仿宋_GB2312" w:hAnsi="Calibri" w:eastAsia="仿宋_GB2312" w:cs="Times New Roman"/>
          <w:sz w:val="32"/>
          <w:szCs w:val="32"/>
        </w:rPr>
        <w:t>、智能微电网、</w:t>
      </w:r>
      <w:r>
        <w:rPr>
          <w:rFonts w:hint="eastAsia" w:ascii="仿宋_GB2312" w:hAnsi="Calibri" w:eastAsia="仿宋_GB2312" w:cs="Times New Roman"/>
          <w:sz w:val="32"/>
          <w:szCs w:val="32"/>
        </w:rPr>
        <w:t>光电信息、通用航空、</w:t>
      </w:r>
      <w:r>
        <w:rPr>
          <w:rFonts w:ascii="仿宋_GB2312" w:hAnsi="Calibri" w:eastAsia="仿宋_GB2312" w:cs="Times New Roman"/>
          <w:sz w:val="32"/>
          <w:szCs w:val="32"/>
        </w:rPr>
        <w:t>增材制造(3D打印)、</w:t>
      </w:r>
      <w:r>
        <w:rPr>
          <w:rFonts w:hint="eastAsia" w:ascii="仿宋_GB2312" w:hAnsi="Calibri" w:eastAsia="仿宋_GB2312" w:cs="Times New Roman"/>
          <w:sz w:val="32"/>
          <w:szCs w:val="32"/>
        </w:rPr>
        <w:t>大数据、</w:t>
      </w:r>
      <w:r>
        <w:rPr>
          <w:rFonts w:ascii="仿宋_GB2312" w:hAnsi="Calibri" w:eastAsia="仿宋_GB2312" w:cs="Times New Roman"/>
          <w:sz w:val="32"/>
          <w:szCs w:val="32"/>
        </w:rPr>
        <w:t>人工智能、页岩气</w:t>
      </w:r>
      <w:r>
        <w:rPr>
          <w:rFonts w:hint="eastAsia" w:ascii="仿宋_GB2312" w:hAnsi="Calibri" w:eastAsia="仿宋_GB2312" w:cs="Times New Roman"/>
          <w:sz w:val="32"/>
          <w:szCs w:val="32"/>
        </w:rPr>
        <w:t>开发等。</w:t>
      </w:r>
    </w:p>
    <w:p>
      <w:pPr>
        <w:adjustRightInd w:val="0"/>
        <w:snapToGrid w:val="0"/>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三、传统产业领域</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冶金工业、建材工业、化学工业、轻纺工业、农业产业（现代农业、智慧农业、乡村振兴等）。</w:t>
      </w:r>
    </w:p>
    <w:p>
      <w:pPr>
        <w:adjustRightInd w:val="0"/>
        <w:snapToGrid w:val="0"/>
        <w:spacing w:line="360" w:lineRule="auto"/>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四、其他领域</w:t>
      </w:r>
    </w:p>
    <w:p>
      <w:pPr>
        <w:adjustRightInd w:val="0"/>
        <w:snapToGrid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能源和环境安全、贵金属冶炼及产品深加工、军民融合发展战略、地质环境保护与地质灾害防治、工程技术人才培养模式创新等。</w:t>
      </w:r>
    </w:p>
    <w:p>
      <w:pPr>
        <w:adjustRightInd w:val="0"/>
        <w:snapToGrid w:val="0"/>
        <w:spacing w:line="360" w:lineRule="auto"/>
        <w:ind w:firstLine="640" w:firstLineChars="200"/>
        <w:rPr>
          <w:rFonts w:ascii="仿宋_GB2312" w:hAnsi="Calibri" w:eastAsia="仿宋_GB2312"/>
          <w:sz w:val="32"/>
          <w:szCs w:val="32"/>
        </w:rPr>
      </w:pPr>
    </w:p>
    <w:p>
      <w:pPr>
        <w:adjustRightInd w:val="0"/>
        <w:snapToGrid w:val="0"/>
        <w:spacing w:line="360" w:lineRule="auto"/>
        <w:ind w:firstLine="3200" w:firstLineChars="1000"/>
        <w:rPr>
          <w:rFonts w:ascii="仿宋_GB2312" w:hAnsi="Calibri" w:eastAsia="仿宋_GB2312" w:cs="Times New Roman"/>
          <w:sz w:val="32"/>
          <w:szCs w:val="32"/>
        </w:rPr>
      </w:pPr>
      <w:r>
        <w:rPr>
          <w:rFonts w:hint="eastAsia" w:ascii="仿宋_GB2312" w:hAnsi="Calibri" w:eastAsia="仿宋_GB2312" w:cs="Times New Roman"/>
          <w:sz w:val="32"/>
          <w:szCs w:val="32"/>
        </w:rPr>
        <w:t>中国工程科技发展战略河南研究院</w:t>
      </w:r>
    </w:p>
    <w:p>
      <w:pPr>
        <w:adjustRightInd w:val="0"/>
        <w:snapToGrid w:val="0"/>
        <w:spacing w:line="360" w:lineRule="auto"/>
        <w:ind w:firstLine="5440" w:firstLineChars="1700"/>
        <w:rPr>
          <w:rFonts w:ascii="仿宋_GB2312" w:hAnsi="Calibri" w:eastAsia="仿宋_GB2312" w:cs="Times New Roman"/>
          <w:sz w:val="32"/>
          <w:szCs w:val="32"/>
        </w:rPr>
      </w:pPr>
      <w:r>
        <w:rPr>
          <w:rFonts w:hint="eastAsia" w:ascii="仿宋_GB2312" w:hAnsi="Calibri" w:eastAsia="仿宋_GB2312" w:cs="Times New Roman"/>
          <w:sz w:val="32"/>
          <w:szCs w:val="32"/>
        </w:rPr>
        <w:t>201</w:t>
      </w:r>
      <w:r>
        <w:rPr>
          <w:rFonts w:ascii="仿宋_GB2312" w:hAnsi="Calibri" w:eastAsia="仿宋_GB2312" w:cs="Times New Roman"/>
          <w:sz w:val="32"/>
          <w:szCs w:val="32"/>
        </w:rPr>
        <w:t>9</w:t>
      </w:r>
      <w:r>
        <w:rPr>
          <w:rFonts w:hint="eastAsia" w:ascii="仿宋_GB2312" w:hAnsi="Calibri" w:eastAsia="仿宋_GB2312" w:cs="Times New Roman"/>
          <w:sz w:val="32"/>
          <w:szCs w:val="32"/>
        </w:rPr>
        <w:t>年</w:t>
      </w:r>
      <w:r>
        <w:rPr>
          <w:rFonts w:ascii="仿宋_GB2312" w:hAnsi="Calibri" w:eastAsia="仿宋_GB2312" w:cs="Times New Roman"/>
          <w:sz w:val="32"/>
          <w:szCs w:val="32"/>
        </w:rPr>
        <w:t>10</w:t>
      </w:r>
      <w:r>
        <w:rPr>
          <w:rFonts w:hint="eastAsia" w:ascii="仿宋_GB2312" w:hAnsi="Calibri" w:eastAsia="仿宋_GB2312" w:cs="Times New Roman"/>
          <w:sz w:val="32"/>
          <w:szCs w:val="32"/>
        </w:rPr>
        <w:t>月</w:t>
      </w:r>
      <w:r>
        <w:rPr>
          <w:rFonts w:ascii="仿宋_GB2312" w:hAnsi="Calibri" w:eastAsia="仿宋_GB2312" w:cs="Times New Roman"/>
          <w:sz w:val="32"/>
          <w:szCs w:val="32"/>
        </w:rPr>
        <w:t>25</w:t>
      </w:r>
      <w:r>
        <w:rPr>
          <w:rFonts w:hint="eastAsia" w:ascii="仿宋_GB2312" w:hAnsi="Calibri"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7E0F"/>
    <w:rsid w:val="4AB0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2019-11-11T08:14:00Z</dcterms:created>
  <dc:creator>纯净水1423363324</dc:creator>
  <cp:lastModifiedBy>纯净水1423363324</cp:lastModifiedBy>
  <dcterms:modified xsi:type="dcterms:W3CDTF">2019-11-11T08:15:50Z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