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仿宋_GB2312" w:hAnsi="仿宋_GB2312"/>
          <w:color w:val="auto"/>
          <w:sz w:val="32"/>
          <w:szCs w:val="22"/>
          <w:lang w:val="en-US" w:eastAsia="zh-CN"/>
        </w:rPr>
      </w:pPr>
      <w:r>
        <w:rPr>
          <w:rFonts w:hint="eastAsia" w:ascii="黑体" w:hAnsi="仿宋_GB2312" w:eastAsia="黑体" w:cs="Times New Roman"/>
          <w:sz w:val="32"/>
          <w:szCs w:val="22"/>
          <w:lang w:val="en-US" w:eastAsia="zh-CN"/>
        </w:rPr>
        <w:t>附件10：</w:t>
      </w:r>
    </w:p>
    <w:p>
      <w:pPr>
        <w:spacing w:line="6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河南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师范大学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第十七届大学生科技文化艺术节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视频录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制规范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/>
          <w:color w:val="auto"/>
          <w:sz w:val="3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视频录制规范建议如下：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视频信号源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.稳定性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全片图像同步性能稳定，无失步现象，CTL 同步控制信号必须连续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图像无抖动跳跃，色彩无突变，编辑点处图像稳定。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.信噪比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图像信噪比不低于55dB ，无明显杂波。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c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.色调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白平衡正确，无明显偏色。 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音频信号源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a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.电平指标 -2db— -8db ，声音应无明显失真、放音过冲、过弱。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.信噪比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不低于48db。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c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.其他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声音和画面要求同步，无交流声或其他杂音等缺陷。伴音清晰、饱满、圆润，无失真、噪声杂音干扰、音量忽大忽小现象。 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视频压缩格式及技术参数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a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.压缩格式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采用H.264/AVC （MPEG-4 Part10 ）编码格式。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.码流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动态码流的码率为1024Kbps （125KBps ）。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c.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分辨率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采用标清4:3 拍摄时，设定为720×576 ；采用高清16:9 拍摄时，设定为1280×720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参赛作品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eastAsia="zh-CN"/>
        </w:rPr>
        <w:t>视频要求始终全景录制且完整不可以剪辑，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不可涉及姓名、学校和个人信息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 xml:space="preserve">其他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.视频和音频的编码格式务必遵照相关要求，否则将导 致视频无法正常播出，延误评审，影响比赛成绩。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.视频和音频的码流务必遵照相关要求。按要求制作的视频，文件大小不超过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00M。</w:t>
      </w:r>
    </w:p>
    <w:p>
      <w:pPr>
        <w:spacing w:line="600" w:lineRule="exact"/>
        <w:rPr>
          <w:rFonts w:hint="eastAsia" w:ascii="仿宋_GB2312" w:hAnsi="仿宋_GB2312" w:eastAsia="仿宋_GB2312"/>
          <w:color w:val="auto"/>
          <w:sz w:val="32"/>
        </w:rPr>
      </w:pPr>
    </w:p>
    <w:p>
      <w:pPr>
        <w:spacing w:line="600" w:lineRule="exact"/>
        <w:rPr>
          <w:rFonts w:hint="eastAsia" w:ascii="仿宋_GB2312" w:hAnsi="仿宋_GB2312" w:eastAsia="仿宋_GB2312"/>
          <w:color w:val="auto"/>
          <w:sz w:val="32"/>
        </w:rPr>
      </w:pPr>
    </w:p>
    <w:p>
      <w:pPr>
        <w:spacing w:line="600" w:lineRule="exact"/>
        <w:rPr>
          <w:rFonts w:hint="eastAsia" w:ascii="仿宋_GB2312" w:hAnsi="仿宋_GB2312" w:eastAsia="仿宋_GB2312"/>
          <w:color w:val="auto"/>
          <w:sz w:val="32"/>
        </w:rPr>
      </w:pPr>
    </w:p>
    <w:p>
      <w:pPr>
        <w:spacing w:line="600" w:lineRule="exact"/>
        <w:rPr>
          <w:rFonts w:hint="eastAsia" w:ascii="仿宋_GB2312" w:hAnsi="仿宋_GB2312" w:eastAsia="仿宋_GB2312"/>
          <w:color w:val="auto"/>
          <w:sz w:val="32"/>
        </w:rPr>
      </w:pPr>
    </w:p>
    <w:p>
      <w:pPr>
        <w:spacing w:line="600" w:lineRule="exact"/>
        <w:rPr>
          <w:rFonts w:hint="eastAsia" w:ascii="仿宋_GB2312" w:hAnsi="仿宋_GB2312" w:eastAsia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</w:p>
    <w:p>
      <w:pPr>
        <w:widowControl/>
        <w:jc w:val="left"/>
        <w:rPr>
          <w:rFonts w:hint="eastAsia"/>
        </w:rPr>
      </w:pPr>
    </w:p>
    <w:p/>
    <w:sectPr>
      <w:pgSz w:w="11906" w:h="16838"/>
      <w:pgMar w:top="1928" w:right="1871" w:bottom="1701" w:left="1871" w:header="851" w:footer="1361" w:gutter="0"/>
      <w:pgNumType w:fmt="numberInDash"/>
      <w:cols w:space="72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14F11"/>
    <w:rsid w:val="43F36E38"/>
    <w:rsid w:val="6F60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2020-11-04T01:49:49Z</dcterms:created>
  <dc:creator>ji</dc:creator>
  <cp:lastModifiedBy>ji</cp:lastModifiedBy>
  <dcterms:modified xsi:type="dcterms:W3CDTF">2020-11-04T01:50:11Z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