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简体" w:hAnsi="仿宋" w:eastAsia="方正小标宋简体"/>
          <w:snapToGrid w:val="0"/>
          <w:kern w:val="0"/>
          <w:sz w:val="44"/>
          <w:szCs w:val="44"/>
        </w:rPr>
      </w:pPr>
      <w:bookmarkStart w:id="0" w:name="_GoBack"/>
      <w:bookmarkEnd w:id="0"/>
      <w:r>
        <w:rPr>
          <w:rFonts w:hint="eastAsia" w:ascii="方正小标宋简体" w:hAnsi="仿宋" w:eastAsia="方正小标宋简体"/>
          <w:snapToGrid w:val="0"/>
          <w:kern w:val="0"/>
          <w:sz w:val="44"/>
          <w:szCs w:val="44"/>
        </w:rPr>
        <w:t>关于建立健全师范院校“再师范化”落实机制的建议</w:t>
      </w:r>
    </w:p>
    <w:p>
      <w:pPr>
        <w:adjustRightInd w:val="0"/>
        <w:snapToGrid w:val="0"/>
        <w:spacing w:line="560" w:lineRule="exact"/>
        <w:ind w:firstLine="643" w:firstLineChars="200"/>
        <w:rPr>
          <w:rFonts w:ascii="仿宋" w:hAnsi="仿宋" w:eastAsia="仿宋" w:cs="宋体"/>
          <w:b/>
          <w:snapToGrid w:val="0"/>
          <w:kern w:val="0"/>
          <w:sz w:val="32"/>
          <w:szCs w:val="32"/>
        </w:rPr>
      </w:pPr>
    </w:p>
    <w:p>
      <w:pPr>
        <w:adjustRightInd w:val="0"/>
        <w:snapToGrid w:val="0"/>
        <w:spacing w:line="560" w:lineRule="exact"/>
        <w:rPr>
          <w:rFonts w:ascii="黑体" w:hAnsi="黑体" w:eastAsia="黑体"/>
          <w:snapToGrid w:val="0"/>
          <w:kern w:val="0"/>
          <w:sz w:val="32"/>
          <w:szCs w:val="32"/>
        </w:rPr>
      </w:pPr>
      <w:r>
        <w:rPr>
          <w:rFonts w:hint="eastAsia" w:ascii="黑体" w:hAnsi="黑体" w:eastAsia="黑体"/>
          <w:snapToGrid w:val="0"/>
          <w:kern w:val="0"/>
          <w:sz w:val="32"/>
          <w:szCs w:val="32"/>
        </w:rPr>
        <w:t>[摘要]</w:t>
      </w:r>
    </w:p>
    <w:p>
      <w:pPr>
        <w:widowControl/>
        <w:adjustRightInd w:val="0"/>
        <w:snapToGrid w:val="0"/>
        <w:spacing w:line="560" w:lineRule="exact"/>
        <w:ind w:firstLine="640" w:firstLineChars="200"/>
        <w:rPr>
          <w:rFonts w:ascii="仿宋" w:hAnsi="仿宋" w:eastAsia="仿宋" w:cs="宋体"/>
          <w:snapToGrid w:val="0"/>
          <w:kern w:val="0"/>
          <w:sz w:val="32"/>
          <w:szCs w:val="32"/>
        </w:rPr>
      </w:pPr>
      <w:r>
        <w:rPr>
          <w:rFonts w:hint="eastAsia" w:ascii="仿宋" w:hAnsi="仿宋" w:eastAsia="仿宋" w:cs="宋体"/>
          <w:snapToGrid w:val="0"/>
          <w:kern w:val="0"/>
          <w:sz w:val="32"/>
          <w:szCs w:val="32"/>
        </w:rPr>
        <w:t>随着师范院校教师教育弱化、边缘化问题日益凸显，政府和民众对此诟病越来越多，师范院校再师范化转型呼声日益高涨，目前的问题主要不在于要不要再师范化，而在于如何实现再师范化。因此，建立健全再师范化落实机制成为政策关注的重点。健全师范院校教师教育主体责任机制，健全再师范化治理机制、项目运行机制以及经费支持机制等是促进再师范化转型，实现其落地生根的关键。</w:t>
      </w:r>
    </w:p>
    <w:p>
      <w:pPr>
        <w:adjustRightInd w:val="0"/>
        <w:snapToGrid w:val="0"/>
        <w:spacing w:line="560" w:lineRule="exact"/>
        <w:rPr>
          <w:rFonts w:ascii="黑体" w:hAnsi="黑体" w:eastAsia="黑体"/>
          <w:snapToGrid w:val="0"/>
          <w:kern w:val="0"/>
          <w:sz w:val="32"/>
          <w:szCs w:val="32"/>
        </w:rPr>
      </w:pPr>
      <w:r>
        <w:rPr>
          <w:rFonts w:ascii="黑体" w:hAnsi="黑体" w:eastAsia="黑体"/>
          <w:snapToGrid w:val="0"/>
          <w:kern w:val="0"/>
          <w:sz w:val="32"/>
          <w:szCs w:val="32"/>
        </w:rPr>
        <w:t>[案由]</w:t>
      </w:r>
    </w:p>
    <w:p>
      <w:pPr>
        <w:adjustRightInd w:val="0"/>
        <w:snapToGrid w:val="0"/>
        <w:spacing w:line="560" w:lineRule="exact"/>
        <w:ind w:firstLine="640" w:firstLineChars="200"/>
        <w:rPr>
          <w:rFonts w:ascii="仿宋" w:hAnsi="仿宋" w:eastAsia="仿宋" w:cs="宋体"/>
          <w:snapToGrid w:val="0"/>
          <w:kern w:val="0"/>
          <w:sz w:val="32"/>
          <w:szCs w:val="32"/>
        </w:rPr>
      </w:pPr>
      <w:r>
        <w:rPr>
          <w:rFonts w:hint="eastAsia" w:ascii="仿宋" w:hAnsi="仿宋" w:eastAsia="仿宋" w:cs="宋体"/>
          <w:snapToGrid w:val="0"/>
          <w:kern w:val="0"/>
          <w:sz w:val="32"/>
          <w:szCs w:val="32"/>
        </w:rPr>
        <w:t>我国师范教育有着百年发展历程。世纪之交，随着高等教育大众化的推进，封闭的师范教育体系随之打破，师范院校开始走向综合化发展之路。第一次转型较大幅度提升了师范院校人才培养的能力，学术水平也随之大幅提升，但教师教育普遍被弱化，师范教育底色、本色越来越被淡化。在这种背景下，近年来党和国家出台了《中共中央国务院关于全面深化新时代教师队伍建设改革的意见》和《教师教育振兴行动计划（</w:t>
      </w:r>
      <w:r>
        <w:rPr>
          <w:rFonts w:ascii="仿宋" w:hAnsi="仿宋" w:eastAsia="仿宋" w:cs="宋体"/>
          <w:snapToGrid w:val="0"/>
          <w:kern w:val="0"/>
          <w:sz w:val="32"/>
          <w:szCs w:val="32"/>
        </w:rPr>
        <w:t>2018—</w:t>
      </w:r>
    </w:p>
    <w:p>
      <w:pPr>
        <w:adjustRightInd w:val="0"/>
        <w:snapToGrid w:val="0"/>
        <w:spacing w:line="560" w:lineRule="exact"/>
        <w:rPr>
          <w:rFonts w:ascii="仿宋" w:hAnsi="仿宋" w:eastAsia="仿宋" w:cs="宋体"/>
          <w:snapToGrid w:val="0"/>
          <w:kern w:val="0"/>
          <w:sz w:val="32"/>
          <w:szCs w:val="32"/>
        </w:rPr>
      </w:pPr>
      <w:r>
        <w:rPr>
          <w:rFonts w:ascii="仿宋" w:hAnsi="仿宋" w:eastAsia="仿宋" w:cs="宋体"/>
          <w:snapToGrid w:val="0"/>
          <w:kern w:val="0"/>
          <w:sz w:val="32"/>
          <w:szCs w:val="32"/>
        </w:rPr>
        <w:t>2022年）》</w:t>
      </w:r>
      <w:r>
        <w:rPr>
          <w:rFonts w:hint="eastAsia" w:ascii="仿宋" w:hAnsi="仿宋" w:eastAsia="仿宋" w:cs="宋体"/>
          <w:snapToGrid w:val="0"/>
          <w:kern w:val="0"/>
          <w:sz w:val="32"/>
          <w:szCs w:val="32"/>
        </w:rPr>
        <w:t>等系列重要文件。两会代表、学术理论界也纷纷呼吁师范院校再师范化转型。当“要不要”的问题解决了之后，解决“能不能”的落实机制问题则成为促进再师范化落地生根的关键环节。</w:t>
      </w:r>
    </w:p>
    <w:p>
      <w:pPr>
        <w:adjustRightInd w:val="0"/>
        <w:snapToGrid w:val="0"/>
        <w:spacing w:line="560" w:lineRule="exact"/>
        <w:rPr>
          <w:rFonts w:ascii="黑体" w:hAnsi="黑体" w:eastAsia="黑体" w:cs="宋体"/>
          <w:snapToGrid w:val="0"/>
          <w:kern w:val="0"/>
          <w:sz w:val="32"/>
          <w:szCs w:val="32"/>
        </w:rPr>
      </w:pPr>
      <w:r>
        <w:rPr>
          <w:rFonts w:hint="eastAsia" w:ascii="黑体" w:hAnsi="黑体" w:eastAsia="黑体" w:cs="宋体"/>
          <w:snapToGrid w:val="0"/>
          <w:kern w:val="0"/>
          <w:sz w:val="32"/>
          <w:szCs w:val="32"/>
        </w:rPr>
        <w:t>[案据]</w:t>
      </w:r>
    </w:p>
    <w:p>
      <w:pPr>
        <w:adjustRightInd w:val="0"/>
        <w:snapToGrid w:val="0"/>
        <w:spacing w:line="560" w:lineRule="exact"/>
        <w:ind w:firstLine="640" w:firstLineChars="200"/>
        <w:rPr>
          <w:rFonts w:ascii="仿宋" w:hAnsi="仿宋" w:eastAsia="仿宋"/>
          <w:bCs/>
          <w:snapToGrid w:val="0"/>
          <w:kern w:val="0"/>
          <w:sz w:val="32"/>
          <w:szCs w:val="32"/>
        </w:rPr>
      </w:pPr>
      <w:r>
        <w:rPr>
          <w:rFonts w:hint="eastAsia" w:ascii="仿宋" w:hAnsi="仿宋" w:eastAsia="仿宋" w:cs="宋体"/>
          <w:snapToGrid w:val="0"/>
          <w:kern w:val="0"/>
          <w:sz w:val="32"/>
          <w:szCs w:val="32"/>
        </w:rPr>
        <w:t>当前，我国师范院校再师范化仍然面临系列困境与问题，</w:t>
      </w:r>
      <w:r>
        <w:rPr>
          <w:rFonts w:hint="eastAsia" w:ascii="仿宋" w:hAnsi="仿宋" w:eastAsia="仿宋"/>
          <w:bCs/>
          <w:snapToGrid w:val="0"/>
          <w:kern w:val="0"/>
          <w:sz w:val="32"/>
          <w:szCs w:val="32"/>
        </w:rPr>
        <w:t>具体表现在：</w:t>
      </w:r>
    </w:p>
    <w:p>
      <w:pPr>
        <w:pStyle w:val="7"/>
        <w:widowControl/>
        <w:adjustRightInd w:val="0"/>
        <w:snapToGrid w:val="0"/>
        <w:spacing w:line="560" w:lineRule="exact"/>
        <w:ind w:firstLine="643" w:firstLineChars="200"/>
        <w:jc w:val="both"/>
        <w:rPr>
          <w:rFonts w:ascii="仿宋" w:hAnsi="仿宋" w:eastAsia="仿宋"/>
          <w:bCs/>
          <w:snapToGrid w:val="0"/>
          <w:sz w:val="32"/>
          <w:szCs w:val="32"/>
        </w:rPr>
      </w:pPr>
      <w:r>
        <w:rPr>
          <w:rFonts w:hint="eastAsia" w:ascii="仿宋" w:hAnsi="仿宋" w:eastAsia="仿宋"/>
          <w:b/>
          <w:snapToGrid w:val="0"/>
          <w:sz w:val="32"/>
          <w:szCs w:val="32"/>
        </w:rPr>
        <w:t>1.师范院校再师范化缺乏强有力的政策支持。</w:t>
      </w:r>
      <w:r>
        <w:rPr>
          <w:rFonts w:hint="eastAsia" w:ascii="仿宋" w:hAnsi="仿宋" w:eastAsia="仿宋"/>
          <w:bCs/>
          <w:snapToGrid w:val="0"/>
          <w:sz w:val="32"/>
          <w:szCs w:val="32"/>
        </w:rPr>
        <w:t>以2020年度经费预算为例，教育部直属高校中排名前三的均为综合性“双一流”高校：清华大学为310.72亿元；浙江大学为216.20亿元；北京大学为191.08亿元。同为“双一流”高校，北京师范大学排名16,为86.35亿元；华东师范大学排名24，为62.78亿元；华中师范大学排名49,为33.64亿元。河南高校中，郑州大学为63.28亿元；河南大学为32.89亿元；作为河南师范院校领头雁的河南师范大学只有13.74亿元。可见，无论是国家层面，还是地方层面，对综合性大学的支持力度远胜于师范类大学。</w:t>
      </w:r>
    </w:p>
    <w:p>
      <w:pPr>
        <w:adjustRightInd w:val="0"/>
        <w:snapToGrid w:val="0"/>
        <w:spacing w:line="560" w:lineRule="exact"/>
        <w:ind w:firstLine="643" w:firstLineChars="200"/>
        <w:rPr>
          <w:rFonts w:ascii="仿宋" w:hAnsi="仿宋" w:eastAsia="仿宋"/>
          <w:bCs/>
          <w:snapToGrid w:val="0"/>
          <w:kern w:val="0"/>
          <w:sz w:val="32"/>
          <w:szCs w:val="32"/>
        </w:rPr>
      </w:pPr>
      <w:r>
        <w:rPr>
          <w:rFonts w:hint="eastAsia" w:ascii="仿宋" w:hAnsi="仿宋" w:eastAsia="仿宋"/>
          <w:b/>
          <w:snapToGrid w:val="0"/>
          <w:kern w:val="0"/>
          <w:sz w:val="32"/>
          <w:szCs w:val="32"/>
          <w:lang w:bidi="ar"/>
        </w:rPr>
        <w:t>2.师范院校人才培养社会认可度有待提升。</w:t>
      </w:r>
      <w:r>
        <w:rPr>
          <w:rFonts w:hint="eastAsia" w:ascii="仿宋" w:hAnsi="仿宋" w:eastAsia="仿宋"/>
          <w:bCs/>
          <w:snapToGrid w:val="0"/>
          <w:kern w:val="0"/>
          <w:sz w:val="32"/>
          <w:szCs w:val="32"/>
        </w:rPr>
        <w:t>有学者对9所“211”师范大学新生生源质量的变化进行了研究，结果显示：2006年到2016年十年间，9所师范大学新生高考加权分数分值从86.7(当年北京大学为100 )下降到了68.6(当年清华大学为100)，降幅为20.9%。这说明师范院校的生源质量呈下降趋势。受生源质量和培养质量的双重影响，一些师范院校毕业生往往局限于自己的学科专业，知识迁移能力弱于综合性院校学生。部分重点中学更愿意从综合性大学毕业生中招聘教师。有数据显示：一些全国知名中学近年来录取具有研究生学历的新教师，90%以上是综合性大学毕业生。</w:t>
      </w:r>
    </w:p>
    <w:p>
      <w:pPr>
        <w:adjustRightInd w:val="0"/>
        <w:snapToGrid w:val="0"/>
        <w:spacing w:line="560" w:lineRule="exact"/>
        <w:ind w:firstLine="643" w:firstLineChars="200"/>
        <w:rPr>
          <w:rFonts w:ascii="仿宋" w:hAnsi="仿宋" w:eastAsia="仿宋"/>
          <w:bCs/>
          <w:snapToGrid w:val="0"/>
          <w:kern w:val="0"/>
          <w:sz w:val="32"/>
          <w:szCs w:val="32"/>
        </w:rPr>
      </w:pPr>
      <w:r>
        <w:rPr>
          <w:rFonts w:hint="eastAsia" w:ascii="仿宋" w:hAnsi="仿宋" w:eastAsia="仿宋"/>
          <w:b/>
          <w:snapToGrid w:val="0"/>
          <w:kern w:val="0"/>
          <w:sz w:val="32"/>
          <w:szCs w:val="32"/>
          <w:lang w:bidi="ar"/>
        </w:rPr>
        <w:t>3.师范院校本科化造成了师范教育趋同化。</w:t>
      </w:r>
      <w:r>
        <w:rPr>
          <w:rFonts w:hint="eastAsia" w:ascii="仿宋" w:hAnsi="仿宋" w:eastAsia="仿宋"/>
          <w:bCs/>
          <w:snapToGrid w:val="0"/>
          <w:kern w:val="0"/>
          <w:sz w:val="32"/>
          <w:szCs w:val="32"/>
        </w:rPr>
        <w:t>从师范教育到教师教育的初次转型打破了中师-专科-本科三层级培养模式，实现了师范教育本科化。这种转型在提升了教师培养学历层次同时，也造成了另一种趋同：培养目标上都试图实现从培养幼儿教师到高中教师的全覆盖；专业设置上都试图实现面向基础教育所有学科教师的全覆盖；在发展模式上都试图“朝上看”，“朝外看”。这种趋同最终导致师范院校千校一面、迷失自我、特色弱化。</w:t>
      </w:r>
    </w:p>
    <w:p>
      <w:pPr>
        <w:adjustRightInd w:val="0"/>
        <w:snapToGrid w:val="0"/>
        <w:spacing w:line="560" w:lineRule="exact"/>
        <w:rPr>
          <w:rFonts w:ascii="黑体" w:hAnsi="黑体" w:eastAsia="黑体" w:cs="宋体"/>
          <w:snapToGrid w:val="0"/>
          <w:kern w:val="0"/>
          <w:sz w:val="32"/>
          <w:szCs w:val="32"/>
        </w:rPr>
      </w:pPr>
      <w:r>
        <w:rPr>
          <w:rFonts w:ascii="黑体" w:hAnsi="黑体" w:eastAsia="黑体" w:cs="宋体"/>
          <w:snapToGrid w:val="0"/>
          <w:kern w:val="0"/>
          <w:sz w:val="32"/>
          <w:szCs w:val="32"/>
        </w:rPr>
        <w:t>[解决方案]</w:t>
      </w:r>
    </w:p>
    <w:p>
      <w:pPr>
        <w:widowControl/>
        <w:adjustRightInd w:val="0"/>
        <w:snapToGrid w:val="0"/>
        <w:spacing w:line="560" w:lineRule="exact"/>
        <w:ind w:firstLine="643" w:firstLineChars="200"/>
        <w:rPr>
          <w:rFonts w:ascii="仿宋" w:hAnsi="仿宋" w:eastAsia="仿宋" w:cs="宋体"/>
          <w:snapToGrid w:val="0"/>
          <w:kern w:val="0"/>
          <w:sz w:val="32"/>
          <w:szCs w:val="32"/>
        </w:rPr>
      </w:pPr>
      <w:r>
        <w:rPr>
          <w:rFonts w:hint="eastAsia" w:ascii="仿宋" w:hAnsi="仿宋" w:eastAsia="仿宋" w:cs="宋体"/>
          <w:b/>
          <w:snapToGrid w:val="0"/>
          <w:kern w:val="0"/>
          <w:sz w:val="32"/>
          <w:szCs w:val="32"/>
        </w:rPr>
        <w:t>1.健全师范院校教师教育主体责任机制。</w:t>
      </w:r>
      <w:r>
        <w:rPr>
          <w:rFonts w:hint="eastAsia" w:ascii="仿宋" w:hAnsi="仿宋" w:eastAsia="仿宋"/>
          <w:bCs/>
          <w:snapToGrid w:val="0"/>
          <w:kern w:val="0"/>
          <w:sz w:val="32"/>
          <w:szCs w:val="32"/>
        </w:rPr>
        <w:t>党的十八大以来，随着教师队伍建设和教师教育振兴系列政策出台，国家越来越重视师范院校在教师教育中的战略地位，以去师范化问题为导向，采取了一系列行之有效的措施与策略，较好地激发了师范院校再师范化的动力与热情。师范院校能否顺利实现再师范化，既取决于师范院校自身举办高质量教师教育的使命感和责任感，也取决于国家对师范院校教师教育主体主责地位的政策期盼、政策引导与政策支撑。作为政策供给者的政府应该通过有效政策宣示确保师范院校在多元化教师教育格局中的主体主责地位。</w:t>
      </w:r>
    </w:p>
    <w:p>
      <w:pPr>
        <w:widowControl/>
        <w:adjustRightInd w:val="0"/>
        <w:snapToGrid w:val="0"/>
        <w:spacing w:line="560" w:lineRule="exact"/>
        <w:ind w:firstLine="643" w:firstLineChars="200"/>
        <w:rPr>
          <w:rFonts w:ascii="仿宋" w:hAnsi="仿宋" w:eastAsia="仿宋" w:cs="宋体"/>
          <w:snapToGrid w:val="0"/>
          <w:kern w:val="0"/>
          <w:sz w:val="32"/>
          <w:szCs w:val="32"/>
        </w:rPr>
      </w:pPr>
      <w:r>
        <w:rPr>
          <w:rFonts w:hint="eastAsia" w:ascii="仿宋" w:hAnsi="仿宋" w:eastAsia="仿宋" w:cs="宋体"/>
          <w:b/>
          <w:snapToGrid w:val="0"/>
          <w:kern w:val="0"/>
          <w:sz w:val="32"/>
          <w:szCs w:val="32"/>
        </w:rPr>
        <w:t>2.健全师范院校再师范化治理机制。</w:t>
      </w:r>
      <w:r>
        <w:rPr>
          <w:rFonts w:hint="eastAsia" w:ascii="仿宋" w:hAnsi="仿宋" w:eastAsia="仿宋"/>
          <w:bCs/>
          <w:snapToGrid w:val="0"/>
          <w:kern w:val="0"/>
          <w:sz w:val="32"/>
          <w:szCs w:val="32"/>
        </w:rPr>
        <w:t>坚持“分类治理、示范带动、整体跃迁”的师范院校再师范化理念思路。以北京师范大学、华东师范大学为示范，带动“双一流”师范大学教师教育高位振兴，打造师范院校再师范化转型的国家队；以“一省一示范”为思路，带动47所师范大学教师教育重点振兴，打造师范院校再师范化的省级队；以一批具有学级优势与学科特色的地方本科师范学院和幼儿师范高等专科学校为示范，带动师范院校错位振兴，打造师范院校再师范化的地方队。通过</w:t>
      </w:r>
      <w:r>
        <w:rPr>
          <w:rFonts w:hint="eastAsia" w:ascii="仿宋" w:hAnsi="仿宋" w:eastAsia="仿宋" w:cs="宋体"/>
          <w:snapToGrid w:val="0"/>
          <w:kern w:val="0"/>
          <w:sz w:val="32"/>
          <w:szCs w:val="32"/>
        </w:rPr>
        <w:t>以“再师范化”为基本要求，以示范标杆为基本引领，重点建设师范院校三支队伍，分类推进、以点带面，辐射引领师范院校高质量发展。</w:t>
      </w:r>
    </w:p>
    <w:p>
      <w:pPr>
        <w:widowControl/>
        <w:adjustRightInd w:val="0"/>
        <w:snapToGrid w:val="0"/>
        <w:spacing w:line="560" w:lineRule="exact"/>
        <w:ind w:firstLine="643" w:firstLineChars="200"/>
        <w:rPr>
          <w:rFonts w:ascii="仿宋" w:hAnsi="仿宋" w:eastAsia="仿宋"/>
          <w:bCs/>
          <w:snapToGrid w:val="0"/>
          <w:kern w:val="0"/>
          <w:sz w:val="32"/>
          <w:szCs w:val="32"/>
        </w:rPr>
      </w:pPr>
      <w:r>
        <w:rPr>
          <w:rFonts w:hint="eastAsia" w:ascii="仿宋" w:hAnsi="仿宋" w:eastAsia="仿宋" w:cs="宋体"/>
          <w:b/>
          <w:snapToGrid w:val="0"/>
          <w:kern w:val="0"/>
          <w:sz w:val="32"/>
          <w:szCs w:val="32"/>
        </w:rPr>
        <w:t>3.健全师范院校再师范化项目运行机制。</w:t>
      </w:r>
      <w:r>
        <w:rPr>
          <w:rFonts w:hint="eastAsia" w:ascii="仿宋" w:hAnsi="仿宋" w:eastAsia="仿宋"/>
          <w:bCs/>
          <w:snapToGrid w:val="0"/>
          <w:kern w:val="0"/>
          <w:sz w:val="32"/>
          <w:szCs w:val="32"/>
        </w:rPr>
        <w:t>主要以“双一流”建设为项目载体，加强经费支持、加强政策倾斜、加强过程评价，引导“双一流”师范大学建设世界水平、中国特色的高质量教师教育。将“一省一示范”（或“一省一标杆”）纳入再师范化项目建设计划，在各省打造一所基础好、后劲足、潜力大的省属师范大学。建议在地方示范性师范大学中探索面向中学，特别是农村地区高中公费师范生、省部共建教师教育改革实验区、区域性教师教学发展中心、未来教育家培养计划等项目。充分发挥省、市政府积极性，以“一校一品”为理念，引导示范性地方师范学院或幼儿师范高等专科学校特色化发展。</w:t>
      </w:r>
    </w:p>
    <w:p>
      <w:pPr>
        <w:widowControl/>
        <w:adjustRightInd w:val="0"/>
        <w:snapToGrid w:val="0"/>
        <w:spacing w:line="560" w:lineRule="exact"/>
        <w:ind w:firstLine="643" w:firstLineChars="200"/>
        <w:rPr>
          <w:rFonts w:ascii="仿宋" w:hAnsi="仿宋" w:eastAsia="仿宋" w:cs="宋体"/>
          <w:snapToGrid w:val="0"/>
          <w:kern w:val="0"/>
          <w:sz w:val="32"/>
          <w:szCs w:val="32"/>
        </w:rPr>
      </w:pPr>
      <w:r>
        <w:rPr>
          <w:rFonts w:hint="eastAsia" w:ascii="仿宋" w:hAnsi="仿宋" w:eastAsia="仿宋" w:cs="宋体"/>
          <w:b/>
          <w:snapToGrid w:val="0"/>
          <w:kern w:val="0"/>
          <w:sz w:val="32"/>
          <w:szCs w:val="32"/>
        </w:rPr>
        <w:t>4.健全师范院校再师范化经费支持机制。</w:t>
      </w:r>
      <w:r>
        <w:rPr>
          <w:rFonts w:hint="eastAsia" w:ascii="仿宋" w:hAnsi="仿宋" w:eastAsia="仿宋"/>
          <w:bCs/>
          <w:snapToGrid w:val="0"/>
          <w:kern w:val="0"/>
          <w:sz w:val="32"/>
          <w:szCs w:val="32"/>
        </w:rPr>
        <w:t>示范性“双一流”师范大学主要依靠中央“双一流”建设经费支持；地方示范性师范大学建立健全以中央经费支持为引导，省级财政予以配套的经费支持机制；地方示范性师范学院或幼儿师范高等专科学校则主要以省级财政为引导，地级市予以配套的经费支持机制。经费支持主要包括两类：一类为纳入示范性再师范化转型综合改革的建设经费，另一类为以项目为载体的建设经费和配套经费。在理顺经费支持体制和提升经费支持总量的同时，加强学校建设和项目建设的过程管理与绩效评价，督导师范院校高速、高质量实现再师范化转型。</w:t>
      </w:r>
    </w:p>
    <w:sectPr>
      <w:footerReference r:id="rId3" w:type="default"/>
      <w:pgSz w:w="11906" w:h="16838"/>
      <w:pgMar w:top="1985" w:right="1588" w:bottom="1701"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Arial Unicode MS"/>
    <w:panose1 w:val="03000509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0884886"/>
    </w:sdtPr>
    <w:sdtEndPr>
      <w:rPr>
        <w:rFonts w:ascii="仿宋" w:hAnsi="仿宋" w:eastAsia="仿宋"/>
        <w:sz w:val="28"/>
        <w:szCs w:val="28"/>
        <w:lang w:val="zh-CN"/>
      </w:rPr>
    </w:sdtEndPr>
    <w:sdtContent>
      <w:p>
        <w:pPr>
          <w:pStyle w:val="5"/>
          <w:jc w:val="center"/>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 PAGE   \* MERGEFORMAT </w:instrText>
        </w:r>
        <w:r>
          <w:rPr>
            <w:rFonts w:ascii="仿宋" w:hAnsi="仿宋" w:eastAsia="仿宋"/>
            <w:sz w:val="28"/>
            <w:szCs w:val="28"/>
          </w:rPr>
          <w:fldChar w:fldCharType="separate"/>
        </w:r>
        <w:r>
          <w:rPr>
            <w:rFonts w:ascii="仿宋" w:hAnsi="仿宋" w:eastAsia="仿宋"/>
            <w:sz w:val="28"/>
            <w:szCs w:val="28"/>
            <w:lang w:val="zh-CN"/>
          </w:rPr>
          <w:t>-</w:t>
        </w:r>
        <w:r>
          <w:rPr>
            <w:rFonts w:ascii="仿宋" w:hAnsi="仿宋" w:eastAsia="仿宋"/>
            <w:sz w:val="28"/>
            <w:szCs w:val="28"/>
          </w:rPr>
          <w:t xml:space="preserve"> 3 -</w:t>
        </w:r>
        <w:r>
          <w:rPr>
            <w:rFonts w:ascii="仿宋" w:hAnsi="仿宋" w:eastAsia="仿宋"/>
            <w:sz w:val="28"/>
            <w:szCs w:val="28"/>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749"/>
    <w:rsid w:val="0000241E"/>
    <w:rsid w:val="00005DF1"/>
    <w:rsid w:val="0001062A"/>
    <w:rsid w:val="00013721"/>
    <w:rsid w:val="0002161D"/>
    <w:rsid w:val="00036B7B"/>
    <w:rsid w:val="00040152"/>
    <w:rsid w:val="000516BF"/>
    <w:rsid w:val="000823AC"/>
    <w:rsid w:val="00082DB3"/>
    <w:rsid w:val="000869BF"/>
    <w:rsid w:val="00094286"/>
    <w:rsid w:val="000D2E82"/>
    <w:rsid w:val="000F204E"/>
    <w:rsid w:val="00115A92"/>
    <w:rsid w:val="00120A6D"/>
    <w:rsid w:val="001342E6"/>
    <w:rsid w:val="00136C44"/>
    <w:rsid w:val="00142E36"/>
    <w:rsid w:val="00144CD0"/>
    <w:rsid w:val="00145481"/>
    <w:rsid w:val="00162A2A"/>
    <w:rsid w:val="0016472D"/>
    <w:rsid w:val="00170539"/>
    <w:rsid w:val="001874F2"/>
    <w:rsid w:val="00191431"/>
    <w:rsid w:val="0019492B"/>
    <w:rsid w:val="001A6BED"/>
    <w:rsid w:val="001B0497"/>
    <w:rsid w:val="001C0B92"/>
    <w:rsid w:val="001C5653"/>
    <w:rsid w:val="001C6277"/>
    <w:rsid w:val="001D1D00"/>
    <w:rsid w:val="001D5D64"/>
    <w:rsid w:val="001F1CEA"/>
    <w:rsid w:val="001F7674"/>
    <w:rsid w:val="0021184E"/>
    <w:rsid w:val="00224B4E"/>
    <w:rsid w:val="0024535D"/>
    <w:rsid w:val="00261212"/>
    <w:rsid w:val="002675B9"/>
    <w:rsid w:val="00272D21"/>
    <w:rsid w:val="00281BB8"/>
    <w:rsid w:val="002866FB"/>
    <w:rsid w:val="002B355F"/>
    <w:rsid w:val="002C0B2C"/>
    <w:rsid w:val="002E63B9"/>
    <w:rsid w:val="002E6EE6"/>
    <w:rsid w:val="002F1568"/>
    <w:rsid w:val="00312631"/>
    <w:rsid w:val="003150F9"/>
    <w:rsid w:val="003158D4"/>
    <w:rsid w:val="0032485B"/>
    <w:rsid w:val="003277B3"/>
    <w:rsid w:val="003314F0"/>
    <w:rsid w:val="0033221A"/>
    <w:rsid w:val="00346FEA"/>
    <w:rsid w:val="00361EFC"/>
    <w:rsid w:val="003727BD"/>
    <w:rsid w:val="00376980"/>
    <w:rsid w:val="003807E6"/>
    <w:rsid w:val="0038392B"/>
    <w:rsid w:val="003C1C37"/>
    <w:rsid w:val="003E32BA"/>
    <w:rsid w:val="003F1311"/>
    <w:rsid w:val="004172CA"/>
    <w:rsid w:val="00434DF9"/>
    <w:rsid w:val="0045757E"/>
    <w:rsid w:val="00477B85"/>
    <w:rsid w:val="00491243"/>
    <w:rsid w:val="00492A0B"/>
    <w:rsid w:val="004A7839"/>
    <w:rsid w:val="004B6CD4"/>
    <w:rsid w:val="004D6E62"/>
    <w:rsid w:val="004F3C73"/>
    <w:rsid w:val="004F4C37"/>
    <w:rsid w:val="00515301"/>
    <w:rsid w:val="00540D77"/>
    <w:rsid w:val="005540D9"/>
    <w:rsid w:val="005722D7"/>
    <w:rsid w:val="0058123B"/>
    <w:rsid w:val="0058194F"/>
    <w:rsid w:val="0059266B"/>
    <w:rsid w:val="005B739A"/>
    <w:rsid w:val="005E0ECA"/>
    <w:rsid w:val="005F04AF"/>
    <w:rsid w:val="005F3D98"/>
    <w:rsid w:val="00604770"/>
    <w:rsid w:val="006316E5"/>
    <w:rsid w:val="006323F1"/>
    <w:rsid w:val="0063505F"/>
    <w:rsid w:val="0065682E"/>
    <w:rsid w:val="006574C8"/>
    <w:rsid w:val="00675D6A"/>
    <w:rsid w:val="006A2CC4"/>
    <w:rsid w:val="006B0901"/>
    <w:rsid w:val="006B1F96"/>
    <w:rsid w:val="006C5888"/>
    <w:rsid w:val="006D6ED7"/>
    <w:rsid w:val="006E4685"/>
    <w:rsid w:val="006F78DB"/>
    <w:rsid w:val="00703412"/>
    <w:rsid w:val="00711971"/>
    <w:rsid w:val="0075433C"/>
    <w:rsid w:val="0075504F"/>
    <w:rsid w:val="00792C8D"/>
    <w:rsid w:val="007B1338"/>
    <w:rsid w:val="007D37C5"/>
    <w:rsid w:val="007E28EA"/>
    <w:rsid w:val="007E5817"/>
    <w:rsid w:val="00827438"/>
    <w:rsid w:val="0083501A"/>
    <w:rsid w:val="008575B3"/>
    <w:rsid w:val="00861952"/>
    <w:rsid w:val="00874AAB"/>
    <w:rsid w:val="00877E1F"/>
    <w:rsid w:val="008A0E1B"/>
    <w:rsid w:val="008A3BD7"/>
    <w:rsid w:val="008C0B61"/>
    <w:rsid w:val="008D526E"/>
    <w:rsid w:val="008D6C78"/>
    <w:rsid w:val="008E1110"/>
    <w:rsid w:val="00916CF3"/>
    <w:rsid w:val="009266F2"/>
    <w:rsid w:val="00932484"/>
    <w:rsid w:val="009377E9"/>
    <w:rsid w:val="009443AD"/>
    <w:rsid w:val="00967788"/>
    <w:rsid w:val="009761B7"/>
    <w:rsid w:val="00980E68"/>
    <w:rsid w:val="0098766F"/>
    <w:rsid w:val="009877EA"/>
    <w:rsid w:val="00987912"/>
    <w:rsid w:val="009A16C6"/>
    <w:rsid w:val="009B7C17"/>
    <w:rsid w:val="009D17B5"/>
    <w:rsid w:val="00A05EF5"/>
    <w:rsid w:val="00A1370F"/>
    <w:rsid w:val="00A2406E"/>
    <w:rsid w:val="00A32487"/>
    <w:rsid w:val="00A53897"/>
    <w:rsid w:val="00A63A86"/>
    <w:rsid w:val="00A92971"/>
    <w:rsid w:val="00AB4036"/>
    <w:rsid w:val="00AC1774"/>
    <w:rsid w:val="00AC6585"/>
    <w:rsid w:val="00AD2FCF"/>
    <w:rsid w:val="00AE061C"/>
    <w:rsid w:val="00AE31FD"/>
    <w:rsid w:val="00B02948"/>
    <w:rsid w:val="00B242AD"/>
    <w:rsid w:val="00B50797"/>
    <w:rsid w:val="00B53673"/>
    <w:rsid w:val="00B558B4"/>
    <w:rsid w:val="00BC26A0"/>
    <w:rsid w:val="00BD13D8"/>
    <w:rsid w:val="00BD3303"/>
    <w:rsid w:val="00BE01FF"/>
    <w:rsid w:val="00C11D13"/>
    <w:rsid w:val="00C1615A"/>
    <w:rsid w:val="00C33329"/>
    <w:rsid w:val="00C40B55"/>
    <w:rsid w:val="00C51F01"/>
    <w:rsid w:val="00C64154"/>
    <w:rsid w:val="00C76F04"/>
    <w:rsid w:val="00C80B10"/>
    <w:rsid w:val="00CB03D9"/>
    <w:rsid w:val="00CB5574"/>
    <w:rsid w:val="00CC1B5B"/>
    <w:rsid w:val="00CC3ED0"/>
    <w:rsid w:val="00CD07A2"/>
    <w:rsid w:val="00CF676B"/>
    <w:rsid w:val="00CF786D"/>
    <w:rsid w:val="00D07C40"/>
    <w:rsid w:val="00D50AC0"/>
    <w:rsid w:val="00D62A55"/>
    <w:rsid w:val="00D67724"/>
    <w:rsid w:val="00D74EA0"/>
    <w:rsid w:val="00D9500A"/>
    <w:rsid w:val="00D96120"/>
    <w:rsid w:val="00D96F15"/>
    <w:rsid w:val="00DC08E3"/>
    <w:rsid w:val="00DC4A02"/>
    <w:rsid w:val="00DC74A6"/>
    <w:rsid w:val="00DD334F"/>
    <w:rsid w:val="00DE4C72"/>
    <w:rsid w:val="00E0793D"/>
    <w:rsid w:val="00E17775"/>
    <w:rsid w:val="00E20043"/>
    <w:rsid w:val="00E3128C"/>
    <w:rsid w:val="00E33A58"/>
    <w:rsid w:val="00E44E1B"/>
    <w:rsid w:val="00E463A7"/>
    <w:rsid w:val="00E55788"/>
    <w:rsid w:val="00E727C5"/>
    <w:rsid w:val="00E9190F"/>
    <w:rsid w:val="00E95342"/>
    <w:rsid w:val="00EA36CA"/>
    <w:rsid w:val="00EB01B9"/>
    <w:rsid w:val="00ED1749"/>
    <w:rsid w:val="00EE34ED"/>
    <w:rsid w:val="00F06D73"/>
    <w:rsid w:val="00F218B7"/>
    <w:rsid w:val="00F22214"/>
    <w:rsid w:val="00F259F1"/>
    <w:rsid w:val="00F45960"/>
    <w:rsid w:val="00F66B7C"/>
    <w:rsid w:val="00F8206F"/>
    <w:rsid w:val="00F82BE0"/>
    <w:rsid w:val="00F8582A"/>
    <w:rsid w:val="00FA0250"/>
    <w:rsid w:val="00FB48A5"/>
    <w:rsid w:val="00FC28E6"/>
    <w:rsid w:val="00FC5E67"/>
    <w:rsid w:val="00FD26E0"/>
    <w:rsid w:val="00FE39BF"/>
    <w:rsid w:val="01384959"/>
    <w:rsid w:val="12143D4D"/>
    <w:rsid w:val="1D223E87"/>
    <w:rsid w:val="27143A76"/>
    <w:rsid w:val="2B58183B"/>
    <w:rsid w:val="3F8933C8"/>
    <w:rsid w:val="49947788"/>
    <w:rsid w:val="5C5700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qFormat="1" w:unhideWhenUsed="0" w:uiPriority="99"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jc w:val="left"/>
      <w:outlineLvl w:val="1"/>
    </w:pPr>
    <w:rPr>
      <w:rFonts w:hint="eastAsia" w:ascii="宋体" w:hAnsi="宋体" w:eastAsia="宋体" w:cs="Times New Roman"/>
      <w:b/>
      <w:kern w:val="0"/>
      <w:sz w:val="36"/>
      <w:szCs w:val="36"/>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endnote text"/>
    <w:basedOn w:val="1"/>
    <w:link w:val="17"/>
    <w:qFormat/>
    <w:uiPriority w:val="0"/>
    <w:pPr>
      <w:snapToGrid w:val="0"/>
      <w:jc w:val="left"/>
    </w:pPr>
    <w:rPr>
      <w:szCs w:val="24"/>
    </w:rPr>
  </w:style>
  <w:style w:type="paragraph" w:styleId="4">
    <w:name w:val="Balloon Text"/>
    <w:basedOn w:val="1"/>
    <w:link w:val="30"/>
    <w:semiHidden/>
    <w:unhideWhenUsed/>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jc w:val="left"/>
    </w:pPr>
    <w:rPr>
      <w:rFonts w:cs="Times New Roman"/>
      <w:kern w:val="0"/>
      <w:sz w:val="24"/>
    </w:rPr>
  </w:style>
  <w:style w:type="character" w:styleId="10">
    <w:name w:val="endnote reference"/>
    <w:qFormat/>
    <w:uiPriority w:val="99"/>
    <w:rPr>
      <w:vertAlign w:val="superscript"/>
    </w:rPr>
  </w:style>
  <w:style w:type="character" w:styleId="11">
    <w:name w:val="FollowedHyperlink"/>
    <w:basedOn w:val="9"/>
    <w:semiHidden/>
    <w:unhideWhenUsed/>
    <w:qFormat/>
    <w:uiPriority w:val="99"/>
    <w:rPr>
      <w:color w:val="800080"/>
      <w:u w:val="none"/>
    </w:rPr>
  </w:style>
  <w:style w:type="character" w:styleId="12">
    <w:name w:val="Emphasis"/>
    <w:basedOn w:val="9"/>
    <w:qFormat/>
    <w:uiPriority w:val="20"/>
  </w:style>
  <w:style w:type="character" w:styleId="13">
    <w:name w:val="Hyperlink"/>
    <w:basedOn w:val="9"/>
    <w:semiHidden/>
    <w:unhideWhenUsed/>
    <w:qFormat/>
    <w:uiPriority w:val="99"/>
    <w:rPr>
      <w:color w:val="0000FF"/>
      <w:u w:val="none"/>
    </w:rPr>
  </w:style>
  <w:style w:type="paragraph" w:styleId="14">
    <w:name w:val="List Paragraph"/>
    <w:basedOn w:val="1"/>
    <w:qFormat/>
    <w:uiPriority w:val="34"/>
    <w:pPr>
      <w:ind w:firstLine="420" w:firstLineChars="200"/>
    </w:pPr>
  </w:style>
  <w:style w:type="character" w:customStyle="1" w:styleId="15">
    <w:name w:val="页眉 Char"/>
    <w:basedOn w:val="9"/>
    <w:link w:val="6"/>
    <w:qFormat/>
    <w:uiPriority w:val="99"/>
    <w:rPr>
      <w:sz w:val="18"/>
      <w:szCs w:val="18"/>
    </w:rPr>
  </w:style>
  <w:style w:type="character" w:customStyle="1" w:styleId="16">
    <w:name w:val="页脚 Char"/>
    <w:basedOn w:val="9"/>
    <w:link w:val="5"/>
    <w:qFormat/>
    <w:uiPriority w:val="99"/>
    <w:rPr>
      <w:sz w:val="18"/>
      <w:szCs w:val="18"/>
    </w:rPr>
  </w:style>
  <w:style w:type="character" w:customStyle="1" w:styleId="17">
    <w:name w:val="尾注文本 Char"/>
    <w:link w:val="3"/>
    <w:qFormat/>
    <w:uiPriority w:val="0"/>
    <w:rPr>
      <w:szCs w:val="24"/>
    </w:rPr>
  </w:style>
  <w:style w:type="character" w:customStyle="1" w:styleId="18">
    <w:name w:val="尾注文本 Char1"/>
    <w:basedOn w:val="9"/>
    <w:semiHidden/>
    <w:qFormat/>
    <w:uiPriority w:val="99"/>
  </w:style>
  <w:style w:type="character" w:customStyle="1" w:styleId="19">
    <w:name w:val="hover43"/>
    <w:basedOn w:val="9"/>
    <w:uiPriority w:val="0"/>
    <w:rPr>
      <w:color w:val="822D09"/>
    </w:rPr>
  </w:style>
  <w:style w:type="character" w:customStyle="1" w:styleId="20">
    <w:name w:val="hover44"/>
    <w:basedOn w:val="9"/>
    <w:qFormat/>
    <w:uiPriority w:val="0"/>
    <w:rPr>
      <w:color w:val="FCFCFC"/>
    </w:rPr>
  </w:style>
  <w:style w:type="character" w:customStyle="1" w:styleId="21">
    <w:name w:val="hover45"/>
    <w:basedOn w:val="9"/>
    <w:uiPriority w:val="0"/>
    <w:rPr>
      <w:color w:val="FFFFFF"/>
    </w:rPr>
  </w:style>
  <w:style w:type="character" w:customStyle="1" w:styleId="22">
    <w:name w:val="hover46"/>
    <w:basedOn w:val="9"/>
    <w:qFormat/>
    <w:uiPriority w:val="0"/>
    <w:rPr>
      <w:color w:val="FFFFFF"/>
    </w:rPr>
  </w:style>
  <w:style w:type="character" w:customStyle="1" w:styleId="23">
    <w:name w:val="hover47"/>
    <w:basedOn w:val="9"/>
    <w:qFormat/>
    <w:uiPriority w:val="0"/>
    <w:rPr>
      <w:color w:val="FCFCFC"/>
    </w:rPr>
  </w:style>
  <w:style w:type="character" w:customStyle="1" w:styleId="24">
    <w:name w:val="hover48"/>
    <w:basedOn w:val="9"/>
    <w:qFormat/>
    <w:uiPriority w:val="0"/>
    <w:rPr>
      <w:color w:val="FFFFFF"/>
    </w:rPr>
  </w:style>
  <w:style w:type="character" w:customStyle="1" w:styleId="25">
    <w:name w:val="hover49"/>
    <w:basedOn w:val="9"/>
    <w:qFormat/>
    <w:uiPriority w:val="0"/>
    <w:rPr>
      <w:color w:val="FCFCFC"/>
    </w:rPr>
  </w:style>
  <w:style w:type="character" w:customStyle="1" w:styleId="26">
    <w:name w:val="hover50"/>
    <w:basedOn w:val="9"/>
    <w:qFormat/>
    <w:uiPriority w:val="0"/>
    <w:rPr>
      <w:color w:val="FCFCFC"/>
    </w:rPr>
  </w:style>
  <w:style w:type="character" w:customStyle="1" w:styleId="27">
    <w:name w:val="hover51"/>
    <w:basedOn w:val="9"/>
    <w:qFormat/>
    <w:uiPriority w:val="0"/>
    <w:rPr>
      <w:color w:val="FCFCFC"/>
    </w:rPr>
  </w:style>
  <w:style w:type="character" w:customStyle="1" w:styleId="28">
    <w:name w:val="hover52"/>
    <w:basedOn w:val="9"/>
    <w:qFormat/>
    <w:uiPriority w:val="0"/>
    <w:rPr>
      <w:color w:val="FCFCFC"/>
    </w:rPr>
  </w:style>
  <w:style w:type="character" w:customStyle="1" w:styleId="29">
    <w:name w:val="hover10"/>
    <w:basedOn w:val="9"/>
    <w:qFormat/>
    <w:uiPriority w:val="0"/>
  </w:style>
  <w:style w:type="character" w:customStyle="1" w:styleId="30">
    <w:name w:val="批注框文本 Char"/>
    <w:basedOn w:val="9"/>
    <w:link w:val="4"/>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E294EC-18A6-4D6E-9E17-F1EC603F218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348</Words>
  <Characters>1985</Characters>
  <Lines>16</Lines>
  <Paragraphs>4</Paragraphs>
  <TotalTime>32</TotalTime>
  <ScaleCrop>false</ScaleCrop>
  <LinksUpToDate>false</LinksUpToDate>
  <CharactersWithSpaces>2329</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2020-05-06T08:55:00Z</dcterms:created>
  <dc:creator>zyf5870@outlook.com</dc:creator>
  <cp:lastModifiedBy>罗红艳</cp:lastModifiedBy>
  <cp:lastPrinted>2021-02-22T02:00:00Z</cp:lastPrinted>
  <dcterms:modified xsi:type="dcterms:W3CDTF">2022-01-06T01:24:35Z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D74C770EBDEA49C7BEC10FD24B55E685</vt:lpwstr>
  </property>
</Properties>
</file>