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left"/>
        <w:rPr>
          <w:rFonts w:hint="eastAsia" w:ascii="黑体" w:hAnsi="黑体" w:eastAsia="黑体"/>
          <w:w w:val="95"/>
          <w:sz w:val="32"/>
          <w:szCs w:val="32"/>
        </w:rPr>
      </w:pPr>
      <w:bookmarkStart w:id="0" w:name="_GoBack"/>
      <w:bookmarkEnd w:id="0"/>
      <w:r>
        <w:rPr>
          <w:rFonts w:hint="eastAsia" w:ascii="黑体" w:hAnsi="黑体" w:eastAsia="黑体"/>
          <w:w w:val="95"/>
          <w:sz w:val="32"/>
          <w:szCs w:val="32"/>
        </w:rPr>
        <w:t>4号</w:t>
      </w:r>
    </w:p>
    <w:p>
      <w:pPr>
        <w:adjustRightInd w:val="0"/>
        <w:snapToGrid w:val="0"/>
        <w:spacing w:line="560" w:lineRule="exact"/>
        <w:jc w:val="left"/>
        <w:rPr>
          <w:rFonts w:hint="eastAsia" w:ascii="黑体" w:hAnsi="黑体" w:eastAsia="黑体"/>
          <w:w w:val="95"/>
          <w:sz w:val="32"/>
          <w:szCs w:val="32"/>
        </w:rPr>
      </w:pPr>
    </w:p>
    <w:p>
      <w:pPr>
        <w:adjustRightInd w:val="0"/>
        <w:snapToGrid w:val="0"/>
        <w:spacing w:line="560" w:lineRule="exact"/>
        <w:jc w:val="center"/>
        <w:rPr>
          <w:rFonts w:ascii="方正小标宋简体" w:hAnsi="黑体" w:eastAsia="方正小标宋简体"/>
          <w:w w:val="95"/>
          <w:sz w:val="44"/>
          <w:szCs w:val="44"/>
        </w:rPr>
      </w:pPr>
      <w:r>
        <w:rPr>
          <w:rFonts w:hint="eastAsia" w:ascii="方正小标宋简体" w:hAnsi="黑体" w:eastAsia="方正小标宋简体"/>
          <w:w w:val="95"/>
          <w:sz w:val="44"/>
          <w:szCs w:val="44"/>
        </w:rPr>
        <w:t>关于加快推进师范院校“再师范化”的建议</w:t>
      </w:r>
    </w:p>
    <w:p>
      <w:pPr>
        <w:adjustRightInd w:val="0"/>
        <w:snapToGrid w:val="0"/>
        <w:spacing w:line="560" w:lineRule="exact"/>
        <w:jc w:val="center"/>
        <w:rPr>
          <w:rFonts w:ascii="黑体" w:hAnsi="黑体" w:eastAsia="黑体" w:cs="宋体"/>
          <w:b/>
          <w:sz w:val="36"/>
          <w:szCs w:val="36"/>
        </w:rPr>
      </w:pPr>
    </w:p>
    <w:p>
      <w:pPr>
        <w:adjustRightInd w:val="0"/>
        <w:snapToGrid w:val="0"/>
        <w:spacing w:line="560" w:lineRule="exact"/>
        <w:rPr>
          <w:rFonts w:ascii="黑体" w:hAnsi="黑体" w:eastAsia="黑体" w:cs="宋体"/>
          <w:kern w:val="0"/>
          <w:sz w:val="32"/>
          <w:szCs w:val="32"/>
        </w:rPr>
      </w:pPr>
      <w:r>
        <w:rPr>
          <w:rFonts w:hint="eastAsia" w:ascii="黑体" w:hAnsi="黑体" w:eastAsia="黑体" w:cs="宋体"/>
          <w:kern w:val="0"/>
          <w:sz w:val="32"/>
          <w:szCs w:val="32"/>
        </w:rPr>
        <w:t>[摘要]</w:t>
      </w:r>
    </w:p>
    <w:p>
      <w:pPr>
        <w:widowControl/>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在教师教育体系从封闭走向开放的时代背景下，众多师范院校选择走综合化发展道路，使得在提升实力的同时，也陷入了“去师范化”困境，师范生培养质量明显下滑。受高水平综合大学参与教师教育的冲击，师范院校毕业生的社会认可度和综合评价亟待提高。全面</w:t>
      </w:r>
      <w:r>
        <w:rPr>
          <w:rFonts w:ascii="仿宋" w:hAnsi="仿宋" w:eastAsia="仿宋" w:cs="宋体"/>
          <w:kern w:val="0"/>
          <w:sz w:val="32"/>
          <w:szCs w:val="32"/>
        </w:rPr>
        <w:t>振兴教师教育，</w:t>
      </w:r>
      <w:r>
        <w:rPr>
          <w:rFonts w:hint="eastAsia" w:ascii="仿宋" w:hAnsi="仿宋" w:eastAsia="仿宋" w:cs="宋体"/>
          <w:sz w:val="32"/>
          <w:szCs w:val="32"/>
        </w:rPr>
        <w:t>主体和关键还在于师范院校，特别在于师范院校的“再师范化”。</w:t>
      </w:r>
      <w:r>
        <w:rPr>
          <w:rFonts w:hint="eastAsia" w:ascii="仿宋" w:hAnsi="仿宋" w:eastAsia="仿宋" w:cs="宋体"/>
          <w:kern w:val="0"/>
          <w:sz w:val="32"/>
          <w:szCs w:val="32"/>
        </w:rPr>
        <w:t>加快推进师范院校“再师范化”，必须强化主体地位和关键作用，明确战略方向和工作重点，加大经费支持和政策倾斜，深化教学改革和教育创新。</w:t>
      </w:r>
    </w:p>
    <w:p>
      <w:pPr>
        <w:adjustRightInd w:val="0"/>
        <w:snapToGrid w:val="0"/>
        <w:spacing w:line="560" w:lineRule="exact"/>
        <w:rPr>
          <w:rFonts w:ascii="黑体" w:hAnsi="黑体" w:eastAsia="黑体" w:cs="宋体"/>
          <w:sz w:val="32"/>
          <w:szCs w:val="32"/>
        </w:rPr>
      </w:pPr>
      <w:r>
        <w:rPr>
          <w:rFonts w:ascii="黑体" w:hAnsi="黑体" w:eastAsia="黑体" w:cs="宋体"/>
          <w:sz w:val="32"/>
          <w:szCs w:val="32"/>
        </w:rPr>
        <w:t xml:space="preserve"> [案由]</w:t>
      </w:r>
    </w:p>
    <w:p>
      <w:pPr>
        <w:adjustRightInd w:val="0"/>
        <w:snapToGrid w:val="0"/>
        <w:spacing w:line="560" w:lineRule="exact"/>
        <w:ind w:firstLine="640"/>
        <w:rPr>
          <w:rFonts w:ascii="仿宋" w:hAnsi="仿宋" w:eastAsia="仿宋" w:cs="宋体"/>
          <w:kern w:val="0"/>
          <w:sz w:val="32"/>
          <w:szCs w:val="32"/>
        </w:rPr>
      </w:pPr>
      <w:r>
        <w:rPr>
          <w:rFonts w:hint="eastAsia" w:ascii="仿宋" w:hAnsi="仿宋" w:eastAsia="仿宋" w:cs="宋体"/>
          <w:kern w:val="0"/>
          <w:sz w:val="32"/>
          <w:szCs w:val="32"/>
        </w:rPr>
        <w:t>本世纪初，随着传统师范教育向教师教育转型，全国师范院校纷纷迈上了综合化发展的道路，这客观上提升了学校的整体实力，但同时也使其陷入了“去师范化”困境，遭受了越来越多的诟病。党的十八大以来，《中共中央国务院关于全面深化新时代教师队伍建设改革的意见》和教育部等五部门《教师教育振兴行动计划（</w:t>
      </w:r>
      <w:r>
        <w:rPr>
          <w:rFonts w:ascii="仿宋" w:hAnsi="仿宋" w:eastAsia="仿宋" w:cs="宋体"/>
          <w:kern w:val="0"/>
          <w:sz w:val="32"/>
          <w:szCs w:val="32"/>
        </w:rPr>
        <w:t>2018—2022年）》</w:t>
      </w:r>
      <w:r>
        <w:rPr>
          <w:rFonts w:hint="eastAsia" w:ascii="仿宋" w:hAnsi="仿宋" w:eastAsia="仿宋" w:cs="宋体"/>
          <w:kern w:val="0"/>
          <w:sz w:val="32"/>
          <w:szCs w:val="32"/>
        </w:rPr>
        <w:t>等重要文件先后颁布，全国师范院校迎来了前所未有的发展机遇。</w:t>
      </w:r>
      <w:r>
        <w:rPr>
          <w:rFonts w:ascii="仿宋" w:hAnsi="仿宋" w:eastAsia="仿宋" w:cs="宋体"/>
          <w:kern w:val="0"/>
          <w:sz w:val="32"/>
          <w:szCs w:val="32"/>
        </w:rPr>
        <w:t>在全面振兴教师教育的背景下，</w:t>
      </w:r>
      <w:r>
        <w:rPr>
          <w:rFonts w:hint="eastAsia" w:ascii="仿宋" w:hAnsi="仿宋" w:eastAsia="仿宋" w:cs="宋体"/>
          <w:kern w:val="0"/>
          <w:sz w:val="32"/>
          <w:szCs w:val="32"/>
        </w:rPr>
        <w:t>众多</w:t>
      </w:r>
      <w:r>
        <w:rPr>
          <w:rFonts w:ascii="仿宋" w:hAnsi="仿宋" w:eastAsia="仿宋" w:cs="宋体"/>
          <w:kern w:val="0"/>
          <w:sz w:val="32"/>
          <w:szCs w:val="32"/>
        </w:rPr>
        <w:t>师范院校</w:t>
      </w:r>
      <w:r>
        <w:rPr>
          <w:rFonts w:hint="eastAsia" w:ascii="仿宋" w:hAnsi="仿宋" w:eastAsia="仿宋" w:cs="宋体"/>
          <w:kern w:val="0"/>
          <w:sz w:val="32"/>
          <w:szCs w:val="32"/>
        </w:rPr>
        <w:t>开始</w:t>
      </w:r>
      <w:r>
        <w:rPr>
          <w:rFonts w:ascii="仿宋" w:hAnsi="仿宋" w:eastAsia="仿宋" w:cs="宋体"/>
          <w:kern w:val="0"/>
          <w:sz w:val="32"/>
          <w:szCs w:val="32"/>
        </w:rPr>
        <w:t>抢抓政策机遇</w:t>
      </w:r>
      <w:r>
        <w:rPr>
          <w:rFonts w:hint="eastAsia" w:ascii="仿宋" w:hAnsi="仿宋" w:eastAsia="仿宋" w:cs="宋体"/>
          <w:kern w:val="0"/>
          <w:sz w:val="32"/>
          <w:szCs w:val="32"/>
        </w:rPr>
        <w:t>，</w:t>
      </w:r>
      <w:r>
        <w:rPr>
          <w:rFonts w:ascii="仿宋" w:hAnsi="仿宋" w:eastAsia="仿宋" w:cs="宋体"/>
          <w:kern w:val="0"/>
          <w:sz w:val="32"/>
          <w:szCs w:val="32"/>
        </w:rPr>
        <w:t>调整自身</w:t>
      </w:r>
      <w:r>
        <w:rPr>
          <w:rFonts w:hint="eastAsia" w:ascii="仿宋" w:hAnsi="仿宋" w:eastAsia="仿宋" w:cs="宋体"/>
          <w:kern w:val="0"/>
          <w:sz w:val="32"/>
          <w:szCs w:val="32"/>
        </w:rPr>
        <w:t>发展</w:t>
      </w:r>
      <w:r>
        <w:rPr>
          <w:rFonts w:ascii="仿宋" w:hAnsi="仿宋" w:eastAsia="仿宋" w:cs="宋体"/>
          <w:kern w:val="0"/>
          <w:sz w:val="32"/>
          <w:szCs w:val="32"/>
        </w:rPr>
        <w:t>战略，</w:t>
      </w:r>
      <w:r>
        <w:rPr>
          <w:rFonts w:hint="eastAsia" w:ascii="仿宋" w:hAnsi="仿宋" w:eastAsia="仿宋" w:cs="宋体"/>
          <w:kern w:val="0"/>
          <w:sz w:val="32"/>
          <w:szCs w:val="32"/>
        </w:rPr>
        <w:t>“再师范化”成为新时代师范院校改革发展的重要驱动力。</w:t>
      </w:r>
    </w:p>
    <w:p>
      <w:pPr>
        <w:adjustRightInd w:val="0"/>
        <w:snapToGrid w:val="0"/>
        <w:spacing w:line="560" w:lineRule="exact"/>
        <w:rPr>
          <w:rFonts w:ascii="黑体" w:hAnsi="黑体" w:eastAsia="黑体" w:cs="宋体"/>
          <w:sz w:val="32"/>
          <w:szCs w:val="32"/>
        </w:rPr>
      </w:pPr>
      <w:r>
        <w:rPr>
          <w:rFonts w:hint="eastAsia" w:ascii="黑体" w:hAnsi="黑体" w:eastAsia="黑体" w:cs="宋体"/>
          <w:sz w:val="32"/>
          <w:szCs w:val="32"/>
        </w:rPr>
        <w:t xml:space="preserve"> [案据]</w:t>
      </w:r>
    </w:p>
    <w:p>
      <w:pPr>
        <w:adjustRightInd w:val="0"/>
        <w:snapToGrid w:val="0"/>
        <w:spacing w:line="560" w:lineRule="exact"/>
        <w:ind w:firstLine="600"/>
        <w:rPr>
          <w:rFonts w:ascii="仿宋" w:hAnsi="仿宋" w:eastAsia="仿宋" w:cs="宋体"/>
          <w:kern w:val="0"/>
          <w:sz w:val="32"/>
          <w:szCs w:val="32"/>
        </w:rPr>
      </w:pPr>
      <w:r>
        <w:rPr>
          <w:rFonts w:hint="eastAsia" w:ascii="仿宋" w:hAnsi="仿宋" w:eastAsia="仿宋" w:cs="宋体"/>
          <w:kern w:val="0"/>
          <w:sz w:val="32"/>
          <w:szCs w:val="32"/>
        </w:rPr>
        <w:t>在国家宏观政策的指引下，各省、直辖市和自治区先后出台配套文件和政策，加大对教师教育的支持力度，但从全国师范院校的发展状况来看，教师教育振兴在面临宝贵机遇的同时，也面临着严峻的困难挑战。</w:t>
      </w:r>
    </w:p>
    <w:p>
      <w:pPr>
        <w:adjustRightInd w:val="0"/>
        <w:snapToGrid w:val="0"/>
        <w:spacing w:line="560" w:lineRule="exact"/>
        <w:ind w:firstLine="643" w:firstLineChars="200"/>
        <w:rPr>
          <w:rFonts w:ascii="仿宋" w:hAnsi="仿宋" w:eastAsia="仿宋"/>
          <w:bCs/>
          <w:sz w:val="32"/>
          <w:szCs w:val="32"/>
        </w:rPr>
      </w:pPr>
      <w:r>
        <w:rPr>
          <w:rFonts w:hint="eastAsia" w:ascii="仿宋" w:hAnsi="仿宋" w:eastAsia="仿宋"/>
          <w:b/>
          <w:bCs/>
          <w:sz w:val="32"/>
          <w:szCs w:val="32"/>
        </w:rPr>
        <w:t>1.去师范化现象比较严重。</w:t>
      </w:r>
      <w:r>
        <w:rPr>
          <w:rFonts w:hint="eastAsia" w:ascii="仿宋" w:hAnsi="仿宋" w:eastAsia="仿宋" w:cs="宋体"/>
          <w:kern w:val="0"/>
          <w:sz w:val="32"/>
          <w:szCs w:val="32"/>
        </w:rPr>
        <w:t>关于学校的办学定位，全国</w:t>
      </w:r>
      <w:r>
        <w:rPr>
          <w:rFonts w:ascii="仿宋" w:hAnsi="仿宋" w:eastAsia="仿宋" w:cs="宋体"/>
          <w:kern w:val="0"/>
          <w:sz w:val="32"/>
          <w:szCs w:val="32"/>
        </w:rPr>
        <w:t>4</w:t>
      </w:r>
      <w:r>
        <w:rPr>
          <w:rFonts w:hint="eastAsia" w:ascii="仿宋" w:hAnsi="仿宋" w:eastAsia="仿宋" w:cs="宋体"/>
          <w:kern w:val="0"/>
          <w:sz w:val="32"/>
          <w:szCs w:val="32"/>
        </w:rPr>
        <w:t>7</w:t>
      </w:r>
      <w:r>
        <w:rPr>
          <w:rFonts w:ascii="仿宋" w:hAnsi="仿宋" w:eastAsia="仿宋" w:cs="宋体"/>
          <w:kern w:val="0"/>
          <w:sz w:val="32"/>
          <w:szCs w:val="32"/>
        </w:rPr>
        <w:t>所师范大学</w:t>
      </w:r>
      <w:r>
        <w:rPr>
          <w:rFonts w:hint="eastAsia" w:ascii="仿宋" w:hAnsi="仿宋" w:eastAsia="仿宋" w:cs="宋体"/>
          <w:kern w:val="0"/>
          <w:sz w:val="32"/>
          <w:szCs w:val="32"/>
        </w:rPr>
        <w:t>中，</w:t>
      </w:r>
      <w:r>
        <w:rPr>
          <w:rFonts w:ascii="仿宋" w:hAnsi="仿宋" w:eastAsia="仿宋" w:cs="宋体"/>
          <w:kern w:val="0"/>
          <w:sz w:val="32"/>
          <w:szCs w:val="32"/>
        </w:rPr>
        <w:t>明确定位为综</w:t>
      </w:r>
      <w:r>
        <w:rPr>
          <w:rFonts w:ascii="仿宋" w:hAnsi="仿宋" w:eastAsia="仿宋"/>
          <w:bCs/>
          <w:sz w:val="32"/>
          <w:szCs w:val="32"/>
        </w:rPr>
        <w:t>合性大学</w:t>
      </w:r>
      <w:r>
        <w:rPr>
          <w:rFonts w:hint="eastAsia" w:ascii="仿宋" w:hAnsi="仿宋" w:eastAsia="仿宋"/>
          <w:bCs/>
          <w:sz w:val="32"/>
          <w:szCs w:val="32"/>
        </w:rPr>
        <w:t>或高水平大学</w:t>
      </w:r>
      <w:r>
        <w:rPr>
          <w:rFonts w:ascii="仿宋" w:hAnsi="仿宋" w:eastAsia="仿宋"/>
          <w:bCs/>
          <w:sz w:val="32"/>
          <w:szCs w:val="32"/>
        </w:rPr>
        <w:t>的</w:t>
      </w:r>
      <w:r>
        <w:rPr>
          <w:rFonts w:hint="eastAsia" w:ascii="仿宋" w:hAnsi="仿宋" w:eastAsia="仿宋"/>
          <w:bCs/>
          <w:sz w:val="32"/>
          <w:szCs w:val="32"/>
        </w:rPr>
        <w:t>26</w:t>
      </w:r>
      <w:r>
        <w:rPr>
          <w:rFonts w:ascii="仿宋" w:hAnsi="仿宋" w:eastAsia="仿宋"/>
          <w:bCs/>
          <w:sz w:val="32"/>
          <w:szCs w:val="32"/>
        </w:rPr>
        <w:t>所(</w:t>
      </w:r>
      <w:r>
        <w:rPr>
          <w:rFonts w:hint="eastAsia" w:ascii="仿宋" w:hAnsi="仿宋" w:eastAsia="仿宋"/>
          <w:bCs/>
          <w:sz w:val="32"/>
          <w:szCs w:val="32"/>
        </w:rPr>
        <w:t>55.3</w:t>
      </w:r>
      <w:r>
        <w:rPr>
          <w:rFonts w:ascii="仿宋" w:hAnsi="仿宋" w:eastAsia="仿宋"/>
          <w:bCs/>
          <w:sz w:val="32"/>
          <w:szCs w:val="32"/>
        </w:rPr>
        <w:t>% )，定位为综合性师范大学的</w:t>
      </w:r>
      <w:r>
        <w:rPr>
          <w:rFonts w:hint="eastAsia" w:ascii="仿宋" w:hAnsi="仿宋" w:eastAsia="仿宋"/>
          <w:bCs/>
          <w:sz w:val="32"/>
          <w:szCs w:val="32"/>
        </w:rPr>
        <w:t>6</w:t>
      </w:r>
      <w:r>
        <w:rPr>
          <w:rFonts w:ascii="仿宋" w:hAnsi="仿宋" w:eastAsia="仿宋"/>
          <w:bCs/>
          <w:sz w:val="32"/>
          <w:szCs w:val="32"/>
        </w:rPr>
        <w:t>所(1</w:t>
      </w:r>
      <w:r>
        <w:rPr>
          <w:rFonts w:hint="eastAsia" w:ascii="仿宋" w:hAnsi="仿宋" w:eastAsia="仿宋"/>
          <w:bCs/>
          <w:sz w:val="32"/>
          <w:szCs w:val="32"/>
        </w:rPr>
        <w:t>2</w:t>
      </w:r>
      <w:r>
        <w:rPr>
          <w:rFonts w:ascii="仿宋" w:hAnsi="仿宋" w:eastAsia="仿宋"/>
          <w:bCs/>
          <w:sz w:val="32"/>
          <w:szCs w:val="32"/>
        </w:rPr>
        <w:t>.</w:t>
      </w:r>
      <w:r>
        <w:rPr>
          <w:rFonts w:hint="eastAsia" w:ascii="仿宋" w:hAnsi="仿宋" w:eastAsia="仿宋"/>
          <w:bCs/>
          <w:sz w:val="32"/>
          <w:szCs w:val="32"/>
        </w:rPr>
        <w:t>8</w:t>
      </w:r>
      <w:r>
        <w:rPr>
          <w:rFonts w:ascii="仿宋" w:hAnsi="仿宋" w:eastAsia="仿宋"/>
          <w:bCs/>
          <w:sz w:val="32"/>
          <w:szCs w:val="32"/>
        </w:rPr>
        <w:t>%)，定位为师范大学的</w:t>
      </w:r>
      <w:r>
        <w:rPr>
          <w:rFonts w:hint="eastAsia" w:ascii="仿宋" w:hAnsi="仿宋" w:eastAsia="仿宋"/>
          <w:bCs/>
          <w:sz w:val="32"/>
          <w:szCs w:val="32"/>
        </w:rPr>
        <w:t>15</w:t>
      </w:r>
      <w:r>
        <w:rPr>
          <w:rFonts w:ascii="仿宋" w:hAnsi="仿宋" w:eastAsia="仿宋"/>
          <w:bCs/>
          <w:sz w:val="32"/>
          <w:szCs w:val="32"/>
        </w:rPr>
        <w:t>所(</w:t>
      </w:r>
      <w:r>
        <w:rPr>
          <w:rFonts w:hint="eastAsia" w:ascii="仿宋" w:hAnsi="仿宋" w:eastAsia="仿宋"/>
          <w:bCs/>
          <w:sz w:val="32"/>
          <w:szCs w:val="32"/>
        </w:rPr>
        <w:t>31.9</w:t>
      </w:r>
      <w:r>
        <w:rPr>
          <w:rFonts w:ascii="仿宋" w:hAnsi="仿宋" w:eastAsia="仿宋"/>
          <w:bCs/>
          <w:sz w:val="32"/>
          <w:szCs w:val="32"/>
        </w:rPr>
        <w:t>%)。办学定位上的综合化致使师范</w:t>
      </w:r>
      <w:r>
        <w:rPr>
          <w:rFonts w:hint="eastAsia" w:ascii="仿宋" w:hAnsi="仿宋" w:eastAsia="仿宋"/>
          <w:bCs/>
          <w:sz w:val="32"/>
          <w:szCs w:val="32"/>
        </w:rPr>
        <w:t>院校</w:t>
      </w:r>
      <w:r>
        <w:rPr>
          <w:rFonts w:ascii="仿宋" w:hAnsi="仿宋" w:eastAsia="仿宋"/>
          <w:bCs/>
          <w:sz w:val="32"/>
          <w:szCs w:val="32"/>
        </w:rPr>
        <w:t>有“师范”帽子，没有师范特色的现象较为普遍。</w:t>
      </w:r>
      <w:r>
        <w:rPr>
          <w:rFonts w:hint="eastAsia" w:ascii="仿宋" w:hAnsi="仿宋" w:eastAsia="仿宋"/>
          <w:bCs/>
          <w:sz w:val="32"/>
          <w:szCs w:val="32"/>
        </w:rPr>
        <w:t>与此同时，</w:t>
      </w:r>
      <w:r>
        <w:rPr>
          <w:rFonts w:ascii="仿宋" w:hAnsi="仿宋" w:eastAsia="仿宋"/>
          <w:bCs/>
          <w:sz w:val="32"/>
          <w:szCs w:val="32"/>
        </w:rPr>
        <w:t>在高等教育大众化过程中，师范</w:t>
      </w:r>
      <w:r>
        <w:rPr>
          <w:rFonts w:hint="eastAsia" w:ascii="仿宋" w:hAnsi="仿宋" w:eastAsia="仿宋"/>
          <w:bCs/>
          <w:sz w:val="32"/>
          <w:szCs w:val="32"/>
        </w:rPr>
        <w:t>院校</w:t>
      </w:r>
      <w:r>
        <w:rPr>
          <w:rFonts w:ascii="仿宋" w:hAnsi="仿宋" w:eastAsia="仿宋"/>
          <w:bCs/>
          <w:sz w:val="32"/>
          <w:szCs w:val="32"/>
        </w:rPr>
        <w:t>增设的专业大多为非师范类专业，招生规模的扩大也主要体现在非师范类学生上，这逐渐降低了</w:t>
      </w:r>
      <w:r>
        <w:rPr>
          <w:rFonts w:hint="eastAsia" w:ascii="仿宋" w:hAnsi="仿宋" w:eastAsia="仿宋"/>
          <w:bCs/>
          <w:sz w:val="32"/>
          <w:szCs w:val="32"/>
        </w:rPr>
        <w:t>师范院校</w:t>
      </w:r>
      <w:r>
        <w:rPr>
          <w:rFonts w:ascii="仿宋" w:hAnsi="仿宋" w:eastAsia="仿宋"/>
          <w:bCs/>
          <w:sz w:val="32"/>
          <w:szCs w:val="32"/>
        </w:rPr>
        <w:t>教师培养的主业地位。</w:t>
      </w:r>
    </w:p>
    <w:p>
      <w:pPr>
        <w:adjustRightInd w:val="0"/>
        <w:snapToGrid w:val="0"/>
        <w:spacing w:line="560" w:lineRule="exact"/>
        <w:ind w:firstLine="600"/>
        <w:rPr>
          <w:rFonts w:ascii="仿宋" w:hAnsi="仿宋" w:eastAsia="仿宋"/>
          <w:bCs/>
          <w:sz w:val="32"/>
          <w:szCs w:val="32"/>
        </w:rPr>
      </w:pPr>
      <w:r>
        <w:rPr>
          <w:rFonts w:hint="eastAsia" w:ascii="仿宋" w:hAnsi="仿宋" w:eastAsia="仿宋"/>
          <w:b/>
          <w:bCs/>
          <w:sz w:val="32"/>
          <w:szCs w:val="32"/>
        </w:rPr>
        <w:t>2.师范生培养质量明显下滑。</w:t>
      </w:r>
      <w:r>
        <w:rPr>
          <w:rFonts w:hint="eastAsia" w:ascii="仿宋" w:hAnsi="仿宋" w:eastAsia="仿宋"/>
          <w:bCs/>
          <w:sz w:val="32"/>
          <w:szCs w:val="32"/>
        </w:rPr>
        <w:t>有学者对9所“211”师范大学新生生源质量的变化进行了研究，结果显示：2006年到2016年十年间，9所师范大学新生高考加权分数分值从86.7(当年北京大学为100 )下降到了68.6(当年清华大学为100)，降幅为20.9%。师范院校综合化追求使其在师范教育培养方案、课程设置与教学安排上的传统习惯被逐渐放弃，同时又缺乏对综合性大学人才培养优势的有效学习，导致师范生的培养质量得不到有效保障。</w:t>
      </w:r>
    </w:p>
    <w:p>
      <w:pPr>
        <w:adjustRightInd w:val="0"/>
        <w:snapToGrid w:val="0"/>
        <w:spacing w:line="560" w:lineRule="exact"/>
        <w:ind w:firstLine="600"/>
        <w:rPr>
          <w:rFonts w:ascii="仿宋" w:hAnsi="仿宋" w:eastAsia="仿宋"/>
          <w:bCs/>
          <w:sz w:val="32"/>
          <w:szCs w:val="32"/>
        </w:rPr>
      </w:pPr>
      <w:r>
        <w:rPr>
          <w:rFonts w:hint="eastAsia" w:ascii="仿宋" w:hAnsi="仿宋" w:eastAsia="仿宋"/>
          <w:b/>
          <w:bCs/>
          <w:sz w:val="32"/>
          <w:szCs w:val="32"/>
        </w:rPr>
        <w:t>3.社会认可度和综合评价亟待提高</w:t>
      </w:r>
      <w:r>
        <w:rPr>
          <w:rFonts w:hint="eastAsia" w:ascii="仿宋" w:hAnsi="仿宋" w:eastAsia="仿宋"/>
          <w:bCs/>
          <w:sz w:val="32"/>
          <w:szCs w:val="32"/>
        </w:rPr>
        <w:t>。受生源质量和培养质量的双重影响，一些师范院校毕业生往往囿于自己的学科专业，知识迁移能力弱于综合性院校学生。部分重点中学更愿意从综合性大学毕业生中招聘教师。有数据显示：一些全国知名中学近年来录取具有研究生学历的新教师，90%以上是综合性大学毕业生。研究者对全国部分省、直辖市、自治区教育厅师范处和基础教育处处长发放的问卷调查结果显示，认为地方师范院校培养的师范毕业生很好地满足了本地基础教育师资需求的仅占5.26%。</w:t>
      </w:r>
    </w:p>
    <w:p>
      <w:pPr>
        <w:adjustRightInd w:val="0"/>
        <w:snapToGrid w:val="0"/>
        <w:spacing w:line="560" w:lineRule="exact"/>
        <w:rPr>
          <w:rFonts w:ascii="黑体" w:hAnsi="黑体" w:eastAsia="黑体" w:cs="宋体"/>
          <w:sz w:val="32"/>
          <w:szCs w:val="32"/>
        </w:rPr>
      </w:pPr>
      <w:r>
        <w:rPr>
          <w:rFonts w:ascii="黑体" w:hAnsi="黑体" w:eastAsia="黑体" w:cs="宋体"/>
          <w:sz w:val="32"/>
          <w:szCs w:val="32"/>
        </w:rPr>
        <w:t>[解决方案]</w:t>
      </w:r>
    </w:p>
    <w:p>
      <w:pPr>
        <w:widowControl/>
        <w:adjustRightInd w:val="0"/>
        <w:snapToGrid w:val="0"/>
        <w:spacing w:line="560" w:lineRule="exact"/>
        <w:ind w:firstLine="643" w:firstLineChars="200"/>
        <w:jc w:val="left"/>
        <w:rPr>
          <w:rFonts w:ascii="仿宋" w:hAnsi="仿宋" w:eastAsia="仿宋" w:cs="宋体"/>
          <w:sz w:val="32"/>
          <w:szCs w:val="32"/>
        </w:rPr>
      </w:pPr>
      <w:r>
        <w:rPr>
          <w:rFonts w:hint="eastAsia" w:ascii="仿宋" w:hAnsi="仿宋" w:eastAsia="仿宋" w:cs="宋体"/>
          <w:b/>
          <w:sz w:val="32"/>
          <w:szCs w:val="32"/>
        </w:rPr>
        <w:t>1.强化主体地位和关键作用。</w:t>
      </w:r>
      <w:r>
        <w:rPr>
          <w:rFonts w:hint="eastAsia" w:ascii="仿宋" w:hAnsi="仿宋" w:eastAsia="仿宋" w:cs="宋体"/>
          <w:sz w:val="32"/>
          <w:szCs w:val="32"/>
        </w:rPr>
        <w:t>综合性大学固然有其生源质量好、学科门类全、培养水平高的优势，但广大师范院校在百年师范传统中所涵蕴的师范文化、所构筑的学科专业优势、所形成的独特人才培养模式、所积累的社会资源和渠道等，都是综合性大学无法比拟的。更为重要的是，综合化发展为师范院校实现高质量教师教育使命提供了强力支撑和保障。因此，培养造就新时代高素质专业化创新型教师，主体和关键还在于师范院校，特别是在于师范院校的“再师范化”。</w:t>
      </w:r>
    </w:p>
    <w:p>
      <w:pPr>
        <w:widowControl/>
        <w:adjustRightInd w:val="0"/>
        <w:snapToGrid w:val="0"/>
        <w:spacing w:line="560" w:lineRule="exact"/>
        <w:ind w:firstLine="660"/>
        <w:jc w:val="left"/>
        <w:rPr>
          <w:rFonts w:ascii="仿宋" w:hAnsi="仿宋" w:eastAsia="仿宋" w:cs="宋体"/>
          <w:kern w:val="0"/>
          <w:sz w:val="32"/>
          <w:szCs w:val="32"/>
        </w:rPr>
      </w:pPr>
      <w:r>
        <w:rPr>
          <w:rFonts w:hint="eastAsia" w:ascii="仿宋" w:hAnsi="仿宋" w:eastAsia="仿宋" w:cs="宋体"/>
          <w:b/>
          <w:sz w:val="32"/>
          <w:szCs w:val="32"/>
        </w:rPr>
        <w:t>2.明确战略方向和工作重点。</w:t>
      </w:r>
      <w:r>
        <w:rPr>
          <w:rFonts w:hint="eastAsia" w:ascii="仿宋" w:hAnsi="仿宋" w:eastAsia="仿宋" w:cs="宋体"/>
          <w:sz w:val="32"/>
          <w:szCs w:val="32"/>
        </w:rPr>
        <w:t>一流大学不在于大，也不在于全，关键在于有特色，并把特色发挥到极致。“再师范化”的战略方向不是综合化的简单转向，而是要在综合化的基础上走特色化发展之路，是基于历史传统和时代需求重新塑造师范教育特色。我国当前的47所师范大学中，除</w:t>
      </w:r>
      <w:r>
        <w:rPr>
          <w:rFonts w:ascii="仿宋" w:hAnsi="仿宋" w:eastAsia="仿宋" w:cs="宋体"/>
          <w:sz w:val="32"/>
          <w:szCs w:val="32"/>
        </w:rPr>
        <w:t>教育部直属</w:t>
      </w:r>
      <w:r>
        <w:rPr>
          <w:rFonts w:hint="eastAsia" w:ascii="仿宋" w:hAnsi="仿宋" w:eastAsia="仿宋" w:cs="宋体"/>
          <w:sz w:val="32"/>
          <w:szCs w:val="32"/>
        </w:rPr>
        <w:t>的6所</w:t>
      </w:r>
      <w:r>
        <w:rPr>
          <w:rFonts w:ascii="仿宋" w:hAnsi="仿宋" w:eastAsia="仿宋" w:cs="宋体"/>
          <w:sz w:val="32"/>
          <w:szCs w:val="32"/>
        </w:rPr>
        <w:t>师范大学外，</w:t>
      </w:r>
      <w:r>
        <w:rPr>
          <w:rFonts w:hint="eastAsia" w:ascii="仿宋" w:hAnsi="仿宋" w:eastAsia="仿宋" w:cs="宋体"/>
          <w:sz w:val="32"/>
          <w:szCs w:val="32"/>
        </w:rPr>
        <w:t>其余</w:t>
      </w:r>
      <w:r>
        <w:rPr>
          <w:rFonts w:ascii="仿宋" w:hAnsi="仿宋" w:eastAsia="仿宋" w:cs="宋体"/>
          <w:sz w:val="32"/>
          <w:szCs w:val="32"/>
        </w:rPr>
        <w:t>41所地方师范大学均为省属重点大学，是省域内师范院校的领头羊</w:t>
      </w:r>
      <w:r>
        <w:rPr>
          <w:rFonts w:hint="eastAsia" w:ascii="仿宋" w:hAnsi="仿宋" w:eastAsia="仿宋" w:cs="宋体"/>
          <w:sz w:val="32"/>
          <w:szCs w:val="32"/>
        </w:rPr>
        <w:t>。</w:t>
      </w:r>
      <w:r>
        <w:rPr>
          <w:rFonts w:hint="eastAsia" w:ascii="仿宋" w:hAnsi="仿宋" w:eastAsia="仿宋" w:cs="宋体"/>
          <w:kern w:val="0"/>
          <w:sz w:val="32"/>
          <w:szCs w:val="32"/>
        </w:rPr>
        <w:t>建议以“再师范化”为基本要求，重点建设一批标杆地方师范大学，突出示范带动，以点带面，辐射引领地方师范院校高质量发展。</w:t>
      </w:r>
    </w:p>
    <w:p>
      <w:pPr>
        <w:widowControl/>
        <w:adjustRightInd w:val="0"/>
        <w:snapToGrid w:val="0"/>
        <w:spacing w:line="560" w:lineRule="exact"/>
        <w:ind w:firstLine="660"/>
        <w:jc w:val="left"/>
        <w:rPr>
          <w:rFonts w:ascii="仿宋" w:hAnsi="仿宋" w:eastAsia="仿宋" w:cs="宋体"/>
          <w:sz w:val="32"/>
          <w:szCs w:val="32"/>
        </w:rPr>
      </w:pPr>
      <w:r>
        <w:rPr>
          <w:rFonts w:hint="eastAsia" w:ascii="仿宋" w:hAnsi="仿宋" w:eastAsia="仿宋" w:cs="宋体"/>
          <w:b/>
          <w:sz w:val="32"/>
          <w:szCs w:val="32"/>
        </w:rPr>
        <w:t>3.加大经费支持和政策倾斜</w:t>
      </w:r>
      <w:r>
        <w:rPr>
          <w:rFonts w:hint="eastAsia" w:ascii="仿宋" w:hAnsi="仿宋" w:eastAsia="仿宋" w:cs="宋体"/>
          <w:sz w:val="32"/>
          <w:szCs w:val="32"/>
        </w:rPr>
        <w:t>。党中央国务院的相关意见和教育部等部门的行动计划已经就教师教育的改革发展，提出了一系列针对性非常强的经费支持和政策倾斜举措。在师范院校“再师范化”进程中，建议教育部等部门在给予最大限度经费支持的基础上，在建设国家教师教育改革实验区和高水平师范教育基地、实施公费师范生教育、申报教育博士专业学位授权点、增加教育博士硕士招生指标、扩大办学自主权等方面，给予适度的倾斜。</w:t>
      </w:r>
    </w:p>
    <w:p>
      <w:pPr>
        <w:widowControl/>
        <w:adjustRightInd w:val="0"/>
        <w:snapToGrid w:val="0"/>
        <w:spacing w:line="560" w:lineRule="exact"/>
        <w:ind w:firstLine="660"/>
        <w:jc w:val="left"/>
        <w:rPr>
          <w:rFonts w:ascii="仿宋" w:hAnsi="仿宋" w:eastAsia="仿宋" w:cs="宋体"/>
          <w:sz w:val="32"/>
          <w:szCs w:val="32"/>
        </w:rPr>
      </w:pPr>
      <w:r>
        <w:rPr>
          <w:rFonts w:hint="eastAsia" w:ascii="仿宋" w:hAnsi="仿宋" w:eastAsia="仿宋" w:cs="宋体"/>
          <w:b/>
          <w:sz w:val="32"/>
          <w:szCs w:val="32"/>
        </w:rPr>
        <w:t>4.深化教学改革和教育创新</w:t>
      </w:r>
      <w:r>
        <w:rPr>
          <w:rFonts w:hint="eastAsia" w:ascii="仿宋" w:hAnsi="仿宋" w:eastAsia="仿宋" w:cs="宋体"/>
          <w:sz w:val="32"/>
          <w:szCs w:val="32"/>
        </w:rPr>
        <w:t>。建立健全推进师范院校“再师范化”的体制机制，引导和督促相关师范院校传承和弘扬百年优秀师范教育传统，积极应对新技术革命时代基础教育领域的新课程形态、新学习方式等挑战，围绕培养目标和素质标准设计师范教育的课程体系、教学体系、教材体系与管理体系，全面深化教育教学改革和创新，努力培养造就数以万计的堪当民族复兴大任的大国良师，为办好人民满意的教育、建设现代化教育强国做出独特贡献！</w:t>
      </w:r>
    </w:p>
    <w:sectPr>
      <w:footerReference r:id="rId3" w:type="default"/>
      <w:pgSz w:w="11906" w:h="16838"/>
      <w:pgMar w:top="1985" w:right="1588" w:bottom="1701"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Arial Unicode MS"/>
    <w:panose1 w:val="03000509000000000000"/>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70884886"/>
      <w:docPartObj>
        <w:docPartGallery w:val="autotext"/>
      </w:docPartObj>
    </w:sdtPr>
    <w:sdtEndPr>
      <w:rPr>
        <w:rFonts w:ascii="仿宋" w:hAnsi="仿宋" w:eastAsia="仿宋"/>
        <w:sz w:val="28"/>
        <w:szCs w:val="28"/>
        <w:lang w:val="zh-CN"/>
      </w:rPr>
    </w:sdtEndPr>
    <w:sdtContent>
      <w:p>
        <w:pPr>
          <w:pStyle w:val="3"/>
          <w:jc w:val="center"/>
          <w:rPr>
            <w:rFonts w:ascii="仿宋" w:hAnsi="仿宋" w:eastAsia="仿宋"/>
            <w:sz w:val="28"/>
            <w:szCs w:val="28"/>
          </w:rPr>
        </w:pPr>
        <w:r>
          <w:rPr>
            <w:rFonts w:ascii="仿宋" w:hAnsi="仿宋" w:eastAsia="仿宋"/>
            <w:sz w:val="28"/>
            <w:szCs w:val="28"/>
          </w:rPr>
          <w:fldChar w:fldCharType="begin"/>
        </w:r>
        <w:r>
          <w:rPr>
            <w:rFonts w:ascii="仿宋" w:hAnsi="仿宋" w:eastAsia="仿宋"/>
            <w:sz w:val="28"/>
            <w:szCs w:val="28"/>
          </w:rPr>
          <w:instrText xml:space="preserve"> PAGE   \* MERGEFORMAT </w:instrText>
        </w:r>
        <w:r>
          <w:rPr>
            <w:rFonts w:ascii="仿宋" w:hAnsi="仿宋" w:eastAsia="仿宋"/>
            <w:sz w:val="28"/>
            <w:szCs w:val="28"/>
          </w:rPr>
          <w:fldChar w:fldCharType="separate"/>
        </w:r>
        <w:r>
          <w:rPr>
            <w:rFonts w:ascii="仿宋" w:hAnsi="仿宋" w:eastAsia="仿宋"/>
            <w:sz w:val="28"/>
            <w:szCs w:val="28"/>
            <w:lang w:val="zh-CN"/>
          </w:rPr>
          <w:t>-</w:t>
        </w:r>
        <w:r>
          <w:rPr>
            <w:rFonts w:ascii="仿宋" w:hAnsi="仿宋" w:eastAsia="仿宋"/>
            <w:sz w:val="28"/>
            <w:szCs w:val="28"/>
          </w:rPr>
          <w:t xml:space="preserve"> 4 -</w:t>
        </w:r>
        <w:r>
          <w:rPr>
            <w:rFonts w:ascii="仿宋" w:hAnsi="仿宋" w:eastAsia="仿宋"/>
            <w:sz w:val="28"/>
            <w:szCs w:val="28"/>
            <w:lang w:val="zh-CN"/>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749"/>
    <w:rsid w:val="0000241E"/>
    <w:rsid w:val="00005DF1"/>
    <w:rsid w:val="0001062A"/>
    <w:rsid w:val="00013721"/>
    <w:rsid w:val="0002161D"/>
    <w:rsid w:val="00036B7B"/>
    <w:rsid w:val="00040152"/>
    <w:rsid w:val="000516BF"/>
    <w:rsid w:val="000823AC"/>
    <w:rsid w:val="00082DB3"/>
    <w:rsid w:val="000869BF"/>
    <w:rsid w:val="00094286"/>
    <w:rsid w:val="000F204E"/>
    <w:rsid w:val="00115A92"/>
    <w:rsid w:val="00120A6D"/>
    <w:rsid w:val="001342E6"/>
    <w:rsid w:val="00136C44"/>
    <w:rsid w:val="00142E36"/>
    <w:rsid w:val="00144CD0"/>
    <w:rsid w:val="00145481"/>
    <w:rsid w:val="00162A2A"/>
    <w:rsid w:val="0016472D"/>
    <w:rsid w:val="00170539"/>
    <w:rsid w:val="001874F2"/>
    <w:rsid w:val="00191431"/>
    <w:rsid w:val="0019492B"/>
    <w:rsid w:val="001A6BED"/>
    <w:rsid w:val="001B0497"/>
    <w:rsid w:val="001C0B92"/>
    <w:rsid w:val="001C5653"/>
    <w:rsid w:val="001C6277"/>
    <w:rsid w:val="001D1D00"/>
    <w:rsid w:val="001D5D64"/>
    <w:rsid w:val="001F1CEA"/>
    <w:rsid w:val="001F7674"/>
    <w:rsid w:val="0021184E"/>
    <w:rsid w:val="00224B4E"/>
    <w:rsid w:val="0024535D"/>
    <w:rsid w:val="00261212"/>
    <w:rsid w:val="002675B9"/>
    <w:rsid w:val="00272D21"/>
    <w:rsid w:val="00281BB8"/>
    <w:rsid w:val="002866FB"/>
    <w:rsid w:val="002B355F"/>
    <w:rsid w:val="002C0B2C"/>
    <w:rsid w:val="002E63B9"/>
    <w:rsid w:val="002E6EE6"/>
    <w:rsid w:val="002F1568"/>
    <w:rsid w:val="00312631"/>
    <w:rsid w:val="003158D4"/>
    <w:rsid w:val="0032485B"/>
    <w:rsid w:val="003277B3"/>
    <w:rsid w:val="003314F0"/>
    <w:rsid w:val="00346FEA"/>
    <w:rsid w:val="00361EFC"/>
    <w:rsid w:val="003727BD"/>
    <w:rsid w:val="003807E6"/>
    <w:rsid w:val="0038392B"/>
    <w:rsid w:val="003C1C37"/>
    <w:rsid w:val="003E32BA"/>
    <w:rsid w:val="003F1311"/>
    <w:rsid w:val="004172CA"/>
    <w:rsid w:val="00434DF9"/>
    <w:rsid w:val="0045757E"/>
    <w:rsid w:val="00477B85"/>
    <w:rsid w:val="00491243"/>
    <w:rsid w:val="00492A0B"/>
    <w:rsid w:val="004A7839"/>
    <w:rsid w:val="004B6CD4"/>
    <w:rsid w:val="004D6E62"/>
    <w:rsid w:val="004F3C73"/>
    <w:rsid w:val="004F4C37"/>
    <w:rsid w:val="00515301"/>
    <w:rsid w:val="00540D77"/>
    <w:rsid w:val="005540D9"/>
    <w:rsid w:val="005722D7"/>
    <w:rsid w:val="0058123B"/>
    <w:rsid w:val="0058194F"/>
    <w:rsid w:val="005B739A"/>
    <w:rsid w:val="005E0ECA"/>
    <w:rsid w:val="005F04AF"/>
    <w:rsid w:val="005F3D98"/>
    <w:rsid w:val="00604770"/>
    <w:rsid w:val="006316E5"/>
    <w:rsid w:val="0063505F"/>
    <w:rsid w:val="0065682E"/>
    <w:rsid w:val="006574C8"/>
    <w:rsid w:val="00675D6A"/>
    <w:rsid w:val="006A2CC4"/>
    <w:rsid w:val="006B0901"/>
    <w:rsid w:val="006B1F96"/>
    <w:rsid w:val="006C5888"/>
    <w:rsid w:val="006E4685"/>
    <w:rsid w:val="006F78DB"/>
    <w:rsid w:val="00703412"/>
    <w:rsid w:val="00711971"/>
    <w:rsid w:val="0075433C"/>
    <w:rsid w:val="0075504F"/>
    <w:rsid w:val="00792C8D"/>
    <w:rsid w:val="007B1338"/>
    <w:rsid w:val="007D37C5"/>
    <w:rsid w:val="007E28EA"/>
    <w:rsid w:val="007E5817"/>
    <w:rsid w:val="00827438"/>
    <w:rsid w:val="0083501A"/>
    <w:rsid w:val="008575B3"/>
    <w:rsid w:val="00861952"/>
    <w:rsid w:val="00874AAB"/>
    <w:rsid w:val="00877E1F"/>
    <w:rsid w:val="008A0E1B"/>
    <w:rsid w:val="008A3BD7"/>
    <w:rsid w:val="008C0B61"/>
    <w:rsid w:val="008D6C78"/>
    <w:rsid w:val="008E1110"/>
    <w:rsid w:val="00916CF3"/>
    <w:rsid w:val="009266F2"/>
    <w:rsid w:val="00932484"/>
    <w:rsid w:val="009377E9"/>
    <w:rsid w:val="009443AD"/>
    <w:rsid w:val="00967788"/>
    <w:rsid w:val="009761B7"/>
    <w:rsid w:val="00980E68"/>
    <w:rsid w:val="0098766F"/>
    <w:rsid w:val="009877EA"/>
    <w:rsid w:val="00987912"/>
    <w:rsid w:val="009A16C6"/>
    <w:rsid w:val="009D17B5"/>
    <w:rsid w:val="00A05EF5"/>
    <w:rsid w:val="00A1370F"/>
    <w:rsid w:val="00A2406E"/>
    <w:rsid w:val="00A32487"/>
    <w:rsid w:val="00A53897"/>
    <w:rsid w:val="00A63A86"/>
    <w:rsid w:val="00A92971"/>
    <w:rsid w:val="00AB4036"/>
    <w:rsid w:val="00AC1774"/>
    <w:rsid w:val="00AC6585"/>
    <w:rsid w:val="00AD2FCF"/>
    <w:rsid w:val="00AE061C"/>
    <w:rsid w:val="00AE31FD"/>
    <w:rsid w:val="00B02948"/>
    <w:rsid w:val="00B242AD"/>
    <w:rsid w:val="00B50797"/>
    <w:rsid w:val="00B558B4"/>
    <w:rsid w:val="00BC26A0"/>
    <w:rsid w:val="00BD3303"/>
    <w:rsid w:val="00BE01FF"/>
    <w:rsid w:val="00C11D13"/>
    <w:rsid w:val="00C1615A"/>
    <w:rsid w:val="00C33329"/>
    <w:rsid w:val="00C40B55"/>
    <w:rsid w:val="00C51F01"/>
    <w:rsid w:val="00C76F04"/>
    <w:rsid w:val="00C80B10"/>
    <w:rsid w:val="00CB03D9"/>
    <w:rsid w:val="00CB5574"/>
    <w:rsid w:val="00CC1B5B"/>
    <w:rsid w:val="00CC3ED0"/>
    <w:rsid w:val="00CD07A2"/>
    <w:rsid w:val="00CF676B"/>
    <w:rsid w:val="00CF786D"/>
    <w:rsid w:val="00D07C40"/>
    <w:rsid w:val="00D50AC0"/>
    <w:rsid w:val="00D62A55"/>
    <w:rsid w:val="00D67724"/>
    <w:rsid w:val="00D74EA0"/>
    <w:rsid w:val="00D9500A"/>
    <w:rsid w:val="00D96120"/>
    <w:rsid w:val="00D96F15"/>
    <w:rsid w:val="00DC08E3"/>
    <w:rsid w:val="00DC4A02"/>
    <w:rsid w:val="00DC74A6"/>
    <w:rsid w:val="00DD334F"/>
    <w:rsid w:val="00DE4C72"/>
    <w:rsid w:val="00E0793D"/>
    <w:rsid w:val="00E17775"/>
    <w:rsid w:val="00E20043"/>
    <w:rsid w:val="00E3128C"/>
    <w:rsid w:val="00E44E1B"/>
    <w:rsid w:val="00E463A7"/>
    <w:rsid w:val="00E55788"/>
    <w:rsid w:val="00E9190F"/>
    <w:rsid w:val="00E95342"/>
    <w:rsid w:val="00EA36CA"/>
    <w:rsid w:val="00EB01B9"/>
    <w:rsid w:val="00ED1749"/>
    <w:rsid w:val="00EE34ED"/>
    <w:rsid w:val="00F06D73"/>
    <w:rsid w:val="00F218B7"/>
    <w:rsid w:val="00F22214"/>
    <w:rsid w:val="00F45960"/>
    <w:rsid w:val="00F66B7C"/>
    <w:rsid w:val="00F8206F"/>
    <w:rsid w:val="00F82BE0"/>
    <w:rsid w:val="00F8582A"/>
    <w:rsid w:val="00FC28E6"/>
    <w:rsid w:val="00FC5E67"/>
    <w:rsid w:val="00FE39BF"/>
    <w:rsid w:val="48F75D26"/>
    <w:rsid w:val="72EA36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qFormat="1" w:unhideWhenUsed="0" w:uiPriority="99" w:semiHidden="0" w:name="endnote reference"/>
    <w:lsdException w:unhideWhenUsed="0" w:uiPriority="0"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endnote text"/>
    <w:basedOn w:val="1"/>
    <w:link w:val="11"/>
    <w:uiPriority w:val="0"/>
    <w:pPr>
      <w:snapToGrid w:val="0"/>
      <w:jc w:val="left"/>
    </w:pPr>
    <w:rPr>
      <w:szCs w:val="24"/>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endnote reference"/>
    <w:qFormat/>
    <w:uiPriority w:val="99"/>
    <w:rPr>
      <w:vertAlign w:val="superscript"/>
    </w:rPr>
  </w:style>
  <w:style w:type="paragraph" w:styleId="8">
    <w:name w:val="List Paragraph"/>
    <w:basedOn w:val="1"/>
    <w:qFormat/>
    <w:uiPriority w:val="34"/>
    <w:pPr>
      <w:ind w:firstLine="420" w:firstLineChars="200"/>
    </w:pPr>
  </w:style>
  <w:style w:type="character" w:customStyle="1" w:styleId="9">
    <w:name w:val="页眉 Char"/>
    <w:basedOn w:val="6"/>
    <w:link w:val="4"/>
    <w:qFormat/>
    <w:uiPriority w:val="99"/>
    <w:rPr>
      <w:sz w:val="18"/>
      <w:szCs w:val="18"/>
    </w:rPr>
  </w:style>
  <w:style w:type="character" w:customStyle="1" w:styleId="10">
    <w:name w:val="页脚 Char"/>
    <w:basedOn w:val="6"/>
    <w:link w:val="3"/>
    <w:qFormat/>
    <w:uiPriority w:val="99"/>
    <w:rPr>
      <w:sz w:val="18"/>
      <w:szCs w:val="18"/>
    </w:rPr>
  </w:style>
  <w:style w:type="character" w:customStyle="1" w:styleId="11">
    <w:name w:val="尾注文本 Char"/>
    <w:link w:val="2"/>
    <w:qFormat/>
    <w:uiPriority w:val="0"/>
    <w:rPr>
      <w:szCs w:val="24"/>
    </w:rPr>
  </w:style>
  <w:style w:type="character" w:customStyle="1" w:styleId="12">
    <w:name w:val="尾注文本 Char1"/>
    <w:basedOn w:val="6"/>
    <w:semiHidden/>
    <w:qFormat/>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36BF9DE-A8CB-46A6-A8B5-0CA7D2276445}">
  <ds:schemaRefs/>
</ds:datastoreItem>
</file>

<file path=docProps/app.xml><?xml version="1.0" encoding="utf-8"?>
<Properties xmlns="http://schemas.openxmlformats.org/officeDocument/2006/extended-properties" xmlns:vt="http://schemas.openxmlformats.org/officeDocument/2006/docPropsVTypes">
  <Template>Normal.dotm</Template>
  <Pages>4</Pages>
  <Words>314</Words>
  <Characters>1790</Characters>
  <Lines>14</Lines>
  <Paragraphs>4</Paragraphs>
  <TotalTime>333</TotalTime>
  <ScaleCrop>false</ScaleCrop>
  <LinksUpToDate>false</LinksUpToDate>
  <CharactersWithSpaces>2100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2020-05-06T08:55:00Z</dcterms:created>
  <dc:creator>zyf5870@outlook.com</dc:creator>
  <cp:lastModifiedBy>罗红艳</cp:lastModifiedBy>
  <dcterms:modified xsi:type="dcterms:W3CDTF">2022-01-06T01:24:04Z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14461155CF4642DAA33D8EA61FD25234</vt:lpwstr>
  </property>
</Properties>
</file>