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B7FEC">
      <w:pPr>
        <w:rPr>
          <w:rFonts w:hint="eastAsia" w:ascii="仿宋" w:hAnsi="仿宋" w:eastAsia="仿宋"/>
          <w:color w:val="auto"/>
          <w:sz w:val="32"/>
          <w:szCs w:val="32"/>
        </w:rPr>
      </w:pPr>
    </w:p>
    <w:p w14:paraId="7057979A">
      <w:pPr>
        <w:rPr>
          <w:rFonts w:hint="eastAsia" w:ascii="仿宋" w:hAnsi="仿宋" w:eastAsia="仿宋"/>
          <w:color w:val="auto"/>
          <w:sz w:val="32"/>
          <w:szCs w:val="32"/>
        </w:rPr>
      </w:pPr>
    </w:p>
    <w:p w14:paraId="28DCA115">
      <w:pPr>
        <w:snapToGrid w:val="0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0000FF"/>
          <w:sz w:val="44"/>
          <w:szCs w:val="44"/>
        </w:rPr>
        <w:t>XXXXXX</w:t>
      </w:r>
      <w:r>
        <w:rPr>
          <w:rFonts w:hint="eastAsia" w:ascii="方正小标宋简体" w:hAnsi="仿宋" w:eastAsia="方正小标宋简体"/>
          <w:color w:val="0000FF"/>
          <w:sz w:val="44"/>
          <w:szCs w:val="44"/>
          <w:lang w:eastAsia="zh-CN"/>
        </w:rPr>
        <w:t>（</w:t>
      </w:r>
      <w:r>
        <w:rPr>
          <w:rFonts w:hint="eastAsia" w:ascii="方正小标宋简体" w:hAnsi="仿宋" w:eastAsia="方正小标宋简体"/>
          <w:color w:val="0000FF"/>
          <w:sz w:val="44"/>
          <w:szCs w:val="44"/>
          <w:lang w:val="en-US" w:eastAsia="zh-CN"/>
        </w:rPr>
        <w:t>单位名称）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关于2025-2026学年</w:t>
      </w:r>
      <w:r>
        <w:rPr>
          <w:rFonts w:hint="eastAsia" w:eastAsia="方正小标宋简体" w:cs="Times New Roman"/>
          <w:color w:val="auto"/>
          <w:sz w:val="44"/>
          <w:szCs w:val="44"/>
          <w:lang w:val="en-US" w:eastAsia="zh-CN"/>
        </w:rPr>
        <w:t>研究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生</w:t>
      </w:r>
      <w:r>
        <w:rPr>
          <w:rFonts w:hint="eastAsia" w:eastAsia="方正小标宋简体" w:cs="Times New Roman"/>
          <w:color w:val="auto"/>
          <w:sz w:val="44"/>
          <w:szCs w:val="44"/>
          <w:highlight w:val="none"/>
          <w:lang w:val="en-US" w:eastAsia="zh-CN"/>
        </w:rPr>
        <w:t>国家奖助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学金评审总结报告</w:t>
      </w:r>
    </w:p>
    <w:p w14:paraId="5B2C1FD2">
      <w:pPr>
        <w:snapToGrid w:val="0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封面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</w:p>
    <w:p w14:paraId="49E86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/>
        <w:jc w:val="center"/>
        <w:textAlignment w:val="auto"/>
        <w:rPr>
          <w:rFonts w:hint="eastAsia" w:ascii="方正小标宋简体" w:hAnsi="仿宋" w:eastAsia="方正小标宋简体"/>
          <w:color w:val="auto"/>
          <w:sz w:val="44"/>
          <w:szCs w:val="44"/>
        </w:rPr>
      </w:pPr>
    </w:p>
    <w:p w14:paraId="4C67C87E">
      <w:pPr>
        <w:tabs>
          <w:tab w:val="left" w:pos="3570"/>
        </w:tabs>
        <w:rPr>
          <w:rFonts w:hint="eastAsia" w:ascii="仿宋" w:hAnsi="仿宋" w:eastAsia="仿宋"/>
          <w:color w:val="auto"/>
          <w:sz w:val="32"/>
          <w:szCs w:val="32"/>
        </w:rPr>
      </w:pPr>
    </w:p>
    <w:p w14:paraId="66A5D314">
      <w:pPr>
        <w:tabs>
          <w:tab w:val="left" w:pos="3570"/>
        </w:tabs>
        <w:rPr>
          <w:rFonts w:hint="eastAsia" w:ascii="仿宋" w:hAnsi="仿宋" w:eastAsia="仿宋"/>
          <w:color w:val="auto"/>
          <w:sz w:val="32"/>
          <w:szCs w:val="32"/>
        </w:rPr>
      </w:pPr>
    </w:p>
    <w:p w14:paraId="12BEF532">
      <w:pPr>
        <w:tabs>
          <w:tab w:val="left" w:pos="3570"/>
        </w:tabs>
        <w:rPr>
          <w:rFonts w:hint="eastAsia" w:ascii="仿宋" w:hAnsi="仿宋" w:eastAsia="仿宋"/>
          <w:color w:val="auto"/>
          <w:sz w:val="32"/>
          <w:szCs w:val="32"/>
        </w:rPr>
      </w:pPr>
    </w:p>
    <w:p w14:paraId="631AC6E1">
      <w:pPr>
        <w:tabs>
          <w:tab w:val="left" w:pos="3570"/>
        </w:tabs>
        <w:rPr>
          <w:rFonts w:hint="eastAsia" w:ascii="仿宋" w:hAnsi="仿宋" w:eastAsia="仿宋"/>
          <w:color w:val="auto"/>
          <w:sz w:val="32"/>
          <w:szCs w:val="32"/>
        </w:rPr>
      </w:pPr>
    </w:p>
    <w:p w14:paraId="488BE43F">
      <w:pPr>
        <w:tabs>
          <w:tab w:val="left" w:pos="3570"/>
        </w:tabs>
        <w:rPr>
          <w:rFonts w:hint="eastAsia" w:ascii="仿宋" w:hAnsi="仿宋" w:eastAsia="仿宋"/>
          <w:color w:val="auto"/>
          <w:sz w:val="32"/>
          <w:szCs w:val="32"/>
        </w:rPr>
      </w:pPr>
    </w:p>
    <w:p w14:paraId="1AE4CFF7">
      <w:pPr>
        <w:tabs>
          <w:tab w:val="left" w:pos="3570"/>
        </w:tabs>
        <w:rPr>
          <w:rFonts w:hint="eastAsia" w:ascii="仿宋" w:hAnsi="仿宋" w:eastAsia="仿宋"/>
          <w:color w:val="auto"/>
          <w:sz w:val="32"/>
          <w:szCs w:val="32"/>
        </w:rPr>
      </w:pPr>
    </w:p>
    <w:p w14:paraId="48ACA043">
      <w:pPr>
        <w:tabs>
          <w:tab w:val="left" w:pos="3570"/>
        </w:tabs>
        <w:rPr>
          <w:rFonts w:hint="eastAsia" w:ascii="仿宋" w:hAnsi="仿宋" w:eastAsia="仿宋"/>
          <w:color w:val="auto"/>
          <w:sz w:val="32"/>
          <w:szCs w:val="32"/>
        </w:rPr>
      </w:pPr>
    </w:p>
    <w:p w14:paraId="2FC4F4CA">
      <w:pPr>
        <w:tabs>
          <w:tab w:val="left" w:pos="3570"/>
        </w:tabs>
        <w:rPr>
          <w:rFonts w:hint="eastAsia" w:ascii="仿宋" w:hAnsi="仿宋" w:eastAsia="仿宋"/>
          <w:color w:val="auto"/>
          <w:sz w:val="32"/>
          <w:szCs w:val="32"/>
        </w:rPr>
      </w:pPr>
    </w:p>
    <w:p w14:paraId="72689746">
      <w:pPr>
        <w:tabs>
          <w:tab w:val="left" w:pos="3570"/>
        </w:tabs>
        <w:rPr>
          <w:rFonts w:hint="eastAsia" w:ascii="仿宋" w:hAnsi="仿宋" w:eastAsia="仿宋"/>
          <w:color w:val="auto"/>
          <w:sz w:val="32"/>
          <w:szCs w:val="32"/>
        </w:rPr>
      </w:pPr>
    </w:p>
    <w:p w14:paraId="0A3269A9">
      <w:pPr>
        <w:ind w:firstLine="1049" w:firstLineChars="328"/>
        <w:rPr>
          <w:rFonts w:hint="eastAsia" w:ascii="仿宋" w:hAnsi="仿宋" w:eastAsia="仿宋"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院系</w:t>
      </w:r>
      <w:r>
        <w:rPr>
          <w:rFonts w:hint="eastAsia" w:ascii="仿宋" w:hAnsi="仿宋" w:eastAsia="仿宋"/>
          <w:color w:val="auto"/>
          <w:sz w:val="32"/>
          <w:szCs w:val="32"/>
        </w:rPr>
        <w:t>（公章）：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         </w:t>
      </w:r>
    </w:p>
    <w:p w14:paraId="1B87CAD0">
      <w:pPr>
        <w:ind w:firstLine="1049" w:firstLineChars="328"/>
        <w:rPr>
          <w:rFonts w:hint="eastAsia" w:ascii="仿宋" w:hAnsi="仿宋" w:eastAsia="仿宋"/>
          <w:color w:val="auto"/>
          <w:sz w:val="32"/>
          <w:szCs w:val="32"/>
        </w:rPr>
      </w:pPr>
    </w:p>
    <w:p w14:paraId="5F9FBD1F">
      <w:pPr>
        <w:ind w:firstLine="1049" w:firstLineChars="328"/>
        <w:rPr>
          <w:rFonts w:hint="eastAsia" w:ascii="仿宋" w:hAnsi="仿宋" w:eastAsia="仿宋"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日       期：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auto"/>
          <w:sz w:val="32"/>
          <w:szCs w:val="32"/>
          <w:u w:val="single"/>
        </w:rPr>
        <w:t xml:space="preserve">         </w:t>
      </w:r>
    </w:p>
    <w:p w14:paraId="6203E806">
      <w:pPr>
        <w:ind w:firstLine="1049" w:firstLineChars="328"/>
        <w:rPr>
          <w:rFonts w:hint="eastAsia" w:ascii="仿宋" w:hAnsi="仿宋" w:eastAsia="仿宋"/>
          <w:color w:val="auto"/>
          <w:sz w:val="32"/>
          <w:szCs w:val="32"/>
          <w:u w:val="single"/>
        </w:rPr>
      </w:pPr>
    </w:p>
    <w:p w14:paraId="7145F0B7">
      <w:pPr>
        <w:ind w:firstLine="1049" w:firstLineChars="328"/>
        <w:rPr>
          <w:rFonts w:hint="eastAsia" w:ascii="仿宋" w:hAnsi="仿宋" w:eastAsia="仿宋"/>
          <w:color w:val="auto"/>
          <w:sz w:val="32"/>
          <w:szCs w:val="32"/>
          <w:u w:val="single"/>
        </w:rPr>
      </w:pPr>
    </w:p>
    <w:p w14:paraId="146DA08D">
      <w:pPr>
        <w:ind w:firstLine="1049" w:firstLineChars="328"/>
        <w:rPr>
          <w:rFonts w:hint="eastAsia" w:ascii="仿宋" w:hAnsi="仿宋" w:eastAsia="仿宋"/>
          <w:color w:val="auto"/>
          <w:sz w:val="32"/>
          <w:szCs w:val="32"/>
          <w:u w:val="single"/>
        </w:rPr>
      </w:pPr>
    </w:p>
    <w:p w14:paraId="250A7BC3">
      <w:pPr>
        <w:ind w:firstLine="1049" w:firstLineChars="328"/>
        <w:rPr>
          <w:rFonts w:hint="eastAsia" w:ascii="仿宋" w:hAnsi="仿宋" w:eastAsia="仿宋"/>
          <w:color w:val="auto"/>
          <w:sz w:val="32"/>
          <w:szCs w:val="32"/>
          <w:u w:val="single"/>
        </w:rPr>
      </w:pPr>
    </w:p>
    <w:p w14:paraId="799C1653">
      <w:pPr>
        <w:snapToGrid w:val="0"/>
        <w:jc w:val="center"/>
        <w:rPr>
          <w:rFonts w:hint="eastAsia" w:ascii="方正小标宋简体" w:hAnsi="仿宋" w:eastAsia="方正小标宋简体"/>
          <w:color w:val="0000FF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color w:val="0000FF"/>
          <w:sz w:val="44"/>
          <w:szCs w:val="44"/>
        </w:rPr>
        <w:t>XXXXXX</w:t>
      </w:r>
      <w:r>
        <w:rPr>
          <w:rFonts w:hint="eastAsia" w:ascii="方正小标宋简体" w:hAnsi="仿宋" w:eastAsia="方正小标宋简体"/>
          <w:color w:val="0000FF"/>
          <w:sz w:val="44"/>
          <w:szCs w:val="44"/>
          <w:lang w:eastAsia="zh-CN"/>
        </w:rPr>
        <w:t>（</w:t>
      </w:r>
      <w:r>
        <w:rPr>
          <w:rFonts w:hint="eastAsia" w:ascii="方正小标宋简体" w:hAnsi="仿宋" w:eastAsia="方正小标宋简体"/>
          <w:color w:val="0000FF"/>
          <w:sz w:val="44"/>
          <w:szCs w:val="44"/>
          <w:lang w:val="en-US" w:eastAsia="zh-CN"/>
        </w:rPr>
        <w:t>单位名称）</w:t>
      </w:r>
    </w:p>
    <w:p w14:paraId="6A4207F8">
      <w:pPr>
        <w:snapToGrid w:val="0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关于2025-2026学年</w:t>
      </w:r>
      <w:r>
        <w:rPr>
          <w:rFonts w:hint="eastAsia" w:eastAsia="方正小标宋简体" w:cs="Times New Roman"/>
          <w:color w:val="auto"/>
          <w:sz w:val="44"/>
          <w:szCs w:val="44"/>
          <w:lang w:val="en-US" w:eastAsia="zh-CN"/>
        </w:rPr>
        <w:t>研究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生</w:t>
      </w:r>
      <w:r>
        <w:rPr>
          <w:rFonts w:hint="eastAsia" w:eastAsia="方正小标宋简体" w:cs="Times New Roman"/>
          <w:color w:val="auto"/>
          <w:sz w:val="44"/>
          <w:szCs w:val="44"/>
          <w:highlight w:val="none"/>
          <w:lang w:val="en-US" w:eastAsia="zh-CN"/>
        </w:rPr>
        <w:t>国家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奖</w:t>
      </w:r>
      <w:r>
        <w:rPr>
          <w:rFonts w:hint="eastAsia" w:eastAsia="方正小标宋简体" w:cs="Times New Roman"/>
          <w:color w:val="auto"/>
          <w:sz w:val="44"/>
          <w:szCs w:val="44"/>
          <w:lang w:val="en-US" w:eastAsia="zh-CN"/>
        </w:rPr>
        <w:t>助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学金</w:t>
      </w:r>
    </w:p>
    <w:p w14:paraId="71A12072">
      <w:pPr>
        <w:snapToGrid w:val="0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评审总结报告</w:t>
      </w:r>
    </w:p>
    <w:p w14:paraId="46A6A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BC7D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党委学工部:</w:t>
      </w:r>
    </w:p>
    <w:p w14:paraId="6F21B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根据《教育部 财政部关于印发〈本专科生国家奖学金评审办法》的通知》(教财函(2019)105号)《关于做好2026年高校国家奖助学金评审发放工作的通知》(豫教资(2026)23号)等文件有关要求，我院认真组织2025-2026学年高校本科生国家奖学金评审工作。现将有关情况报告如下:</w:t>
      </w:r>
    </w:p>
    <w:p w14:paraId="3570F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一、名额分配</w:t>
      </w:r>
    </w:p>
    <w:p w14:paraId="37F69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(标题可自拟;内容包含分配原则、分配依据、分配方式等内容)</w:t>
      </w:r>
    </w:p>
    <w:p w14:paraId="51676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二、评审程序</w:t>
      </w:r>
    </w:p>
    <w:p w14:paraId="7BC12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(标题可自拟;内容包含政策宣传、组织培训、院系评选、校级评审、评审委员会成员名单等内容，可突出本院在严格程序、严把标准、创新方式等内容)</w:t>
      </w:r>
    </w:p>
    <w:p w14:paraId="6E34B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三、评审结果</w:t>
      </w:r>
    </w:p>
    <w:p w14:paraId="585EF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经学院本科生国家奖学金评审领导小组审核确定，同意推荐XXXX名学生获得2025-2026学年度本科生国家奖学金。    </w:t>
      </w:r>
    </w:p>
    <w:p w14:paraId="2EACC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四、其他(工作建议等)</w:t>
      </w:r>
    </w:p>
    <w:p w14:paraId="33CB4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可根据本院经验做法、各级各类诉求、发现问题等，对完善本科生国家奖学金政策、改进本科生国奖评审工作等提出意见建议。若有其他特殊情况，也可在此部分写明。</w:t>
      </w:r>
    </w:p>
    <w:p w14:paraId="4D56A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联系人:xxx，联系电话:xxx。</w:t>
      </w:r>
    </w:p>
    <w:p w14:paraId="0A3A9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(评审委员会签名)</w:t>
      </w:r>
    </w:p>
    <w:p w14:paraId="4B71E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XXXXX学院</w:t>
      </w:r>
    </w:p>
    <w:p w14:paraId="04C0F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20xx年xx月x日</w:t>
      </w:r>
    </w:p>
    <w:p w14:paraId="381B6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</w:p>
    <w:p w14:paraId="40460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  <w:t>研究生国家奖学金评审总结报告参照此格式。</w:t>
      </w:r>
    </w:p>
    <w:p w14:paraId="602A7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本科和研究生国家奖学金评审总结报告单独成文报送，一式1份，A4幅面</w:t>
      </w: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正文采用三号仿宋</w:t>
      </w: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  <w:t>GB2312字体，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一级标题采用三号黑体。</w:t>
      </w:r>
    </w:p>
    <w:p w14:paraId="41CBF60B">
      <w:pPr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3E1345F0">
      <w:pPr>
        <w:ind w:firstLine="1049" w:firstLineChars="328"/>
        <w:rPr>
          <w:rFonts w:hint="eastAsia" w:ascii="仿宋" w:hAnsi="仿宋" w:eastAsia="仿宋"/>
          <w:color w:val="auto"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B9AB25-8E4A-4EB9-98AB-9C8C711328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7DC626F-ED2F-4A91-8580-971467B4AE1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6D6B045-1AF2-43B6-B789-3EC5981005A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C3315A1-C129-49E2-A6A0-3CA6E967F07A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2NDFmMGQwZGYzNDg0Yzc1NzJjYjgyYzMzN2YzYWYifQ=="/>
  </w:docVars>
  <w:rsids>
    <w:rsidRoot w:val="39B27ABA"/>
    <w:rsid w:val="03875812"/>
    <w:rsid w:val="06573F30"/>
    <w:rsid w:val="18B91B40"/>
    <w:rsid w:val="2F312D95"/>
    <w:rsid w:val="38555535"/>
    <w:rsid w:val="39B27ABA"/>
    <w:rsid w:val="3B572FAD"/>
    <w:rsid w:val="4F082B04"/>
    <w:rsid w:val="51E412DD"/>
    <w:rsid w:val="5ACE6D51"/>
    <w:rsid w:val="65F20792"/>
    <w:rsid w:val="6F9E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3">
    <w:name w:val="Body Text 2"/>
    <w:basedOn w:val="1"/>
    <w:qFormat/>
    <w:uiPriority w:val="0"/>
    <w:pPr>
      <w:tabs>
        <w:tab w:val="left" w:pos="0"/>
      </w:tabs>
      <w:spacing w:after="120" w:afterLines="0" w:afterAutospacing="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536</Words>
  <Characters>619</Characters>
  <Lines>0</Lines>
  <Paragraphs>0</Paragraphs>
  <TotalTime>3</TotalTime>
  <ScaleCrop>false</ScaleCrop>
  <LinksUpToDate>false</LinksUpToDate>
  <CharactersWithSpaces>681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2023-09-14T10:20:00Z</dcterms:created>
  <dc:creator>去远方</dc:creator>
  <cp:lastModifiedBy>去远方</cp:lastModifiedBy>
  <dcterms:modified xsi:type="dcterms:W3CDTF">2026-09-09T09:13:35Z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E0C640AEF2F8445187DAE23B592E684B_11</vt:lpwstr>
  </property>
  <property fmtid="{D5CDD505-2E9C-101B-9397-08002B2CF9AE}" pid="4" name="KSOTemplateDocerSaveRecord">
    <vt:lpwstr>eyJoZGlkIjoiMDFjMDhkMWY0ZGZkZDcyOTA5ZTkxNzY4YjY1ODg3NTQiLCJ1c2VySWQiOiIyNzIzNTk3ODMifQ==</vt:lpwstr>
  </property>
</Properties>
</file>