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eastAsia" w:ascii="黑体" w:hAnsi="黑体" w:eastAsia="黑体" w:cs="仿宋"/>
          <w:lang w:val="en-US" w:eastAsia="zh-CN"/>
        </w:rPr>
      </w:pPr>
      <w:r>
        <w:rPr>
          <w:rFonts w:hint="eastAsia" w:ascii="黑体" w:hAnsi="黑体" w:eastAsia="黑体" w:cs="仿宋"/>
        </w:rPr>
        <w:t>附件</w:t>
      </w:r>
      <w:r>
        <w:rPr>
          <w:rFonts w:hint="eastAsia" w:ascii="黑体" w:hAnsi="黑体" w:eastAsia="黑体" w:cs="仿宋"/>
          <w:lang w:val="en-US" w:eastAsia="zh-CN"/>
        </w:rPr>
        <w:t>2</w:t>
      </w:r>
    </w:p>
    <w:p>
      <w:pPr>
        <w:adjustRightInd w:val="0"/>
        <w:snapToGrid w:val="0"/>
        <w:spacing w:line="200" w:lineRule="exact"/>
        <w:jc w:val="left"/>
        <w:rPr>
          <w:rFonts w:ascii="黑体" w:hAnsi="黑体" w:eastAsia="黑体" w:cs="仿宋"/>
        </w:rPr>
      </w:pPr>
    </w:p>
    <w:p>
      <w:pPr>
        <w:spacing w:after="156" w:afterLines="50" w:line="560" w:lineRule="exact"/>
        <w:jc w:val="center"/>
        <w:rPr>
          <w:rFonts w:ascii="方正小标宋简体" w:hAnsi="Calibri" w:eastAsia="方正小标宋简体" w:cs="Calibri"/>
          <w:spacing w:val="-4"/>
          <w:sz w:val="44"/>
          <w:szCs w:val="44"/>
        </w:rPr>
      </w:pPr>
      <w:r>
        <w:rPr>
          <w:rFonts w:hint="eastAsia" w:ascii="方正小标宋简体" w:hAnsi="Calibri" w:eastAsia="方正小标宋简体" w:cs="Calibri"/>
          <w:spacing w:val="-4"/>
          <w:sz w:val="44"/>
          <w:szCs w:val="44"/>
        </w:rPr>
        <w:t>河南师范大学</w:t>
      </w:r>
      <w:r>
        <w:rPr>
          <w:rFonts w:ascii="方正小标宋简体" w:hAnsi="Calibri" w:eastAsia="方正小标宋简体" w:cs="Calibri"/>
          <w:spacing w:val="-4"/>
          <w:sz w:val="44"/>
          <w:szCs w:val="44"/>
        </w:rPr>
        <w:t>一流本科专业</w:t>
      </w:r>
      <w:r>
        <w:rPr>
          <w:rFonts w:hint="eastAsia" w:ascii="方正小标宋简体" w:hAnsi="Calibri" w:eastAsia="方正小标宋简体" w:cs="Calibri"/>
          <w:spacing w:val="-4"/>
          <w:sz w:val="44"/>
          <w:szCs w:val="44"/>
        </w:rPr>
        <w:t>建设考核标准</w:t>
      </w:r>
    </w:p>
    <w:tbl>
      <w:tblPr>
        <w:tblStyle w:val="4"/>
        <w:tblW w:w="891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116"/>
        <w:gridCol w:w="2968"/>
        <w:gridCol w:w="370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一级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指标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二级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指标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国家级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建设标准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省级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建设标准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126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专业类教学质量国家标准达标情况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（100分）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培养目标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专业培养目标契合教学质量国家标准指导意见。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课程体系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(20)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专业课程体系总体框架、各类型课程设置、核心课程开出率、实践教学过程符合教学质量国家标准，注重课程思政建设。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教学规范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本专业教师教学过程及教学行为规范，教学管理文件及教学档案齐备，符合教学质量国家标准。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师资队伍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专业师资规模、结构及教师水平符合教学质量国家标准，专业生师比符合相关认证标准。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教学条件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(20)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专业教学设施建设、信息资源购置、实践基地数量、教学经费投入符合教学质量国家标准。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质量保障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专业设有质量保障体系，教学过程质量监控机制、毕业生跟踪反馈机制、持续改进机制符合教学质量国家标准。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</w:rPr>
              <w:t>专业建设成效（100分）</w:t>
            </w: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人才培养成效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较立项当年专业招生考试第一志愿上线率、新生报到率有明显提高。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较立项当年专业招生考试第一志愿上线率、新生报到率有提高。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专业实习管理规范，实习教学效果良好；重视学生实践能力培养，学生在国家级比赛中表现优秀，取得较好名次。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专业实习管理规范，实习教学效果良好；重视学生实践能力培养，学生在省部级比赛中表现良好，获得一等奖及以上奖励。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专业严格执行毕业论文（设计）标准和规定，高阶性、创新性、挑战度的优良毕业论文（设计）占比高，有省级优秀毕业论文</w:t>
            </w:r>
            <w:r>
              <w:rPr>
                <w:rFonts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篇及以上。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专业严格执行毕业论文（设计）标准和规定，具有一定比例的高阶性、创新性、挑战度的优良毕业论文（设计），有省级优秀毕业论文1篇及以上。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专业就业率有较大提高；建立就业跟踪机制，能够定期对社会需求和毕业生质量进行跟踪调查，毕业生受到用人单位广泛欢迎，社会声誉高。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专业就业率有一定提高；建立就业跟踪机制，能够定期对社会需求和毕业生质量进行跟踪调查，用人单位满意度较高。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教学工程建设成效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具备支撑一流专业人才培养的课程体系，建设一批高水平课程，获批1门以上（含1门）国家级金课或3门省级金课；全面推进课程思政建设，获批1项（含1项）以上国家级课程思政示范课、课程思政团队、课程思政研究中心等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专业具备支撑一流专业人才培养的课程体系，建设一批高水平课程，获批1门以上（含1门）国家级金课或</w:t>
            </w:r>
            <w:r>
              <w:rPr>
                <w:rFonts w:ascii="仿宋" w:hAnsi="仿宋" w:eastAsia="仿宋" w:cs="仿宋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门省级金课；全面推进课程思政建设，获批1项（含1项）以上省级课程思政示范课、课程思政团队、课程思政研究中心等。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专业具有完善的教材审核制度，教师编写教材积极性高，本专业教师主编或参编有较高水平的教材，获批省级教材奖一等奖1项，或获批1部以上（含1部）国家级规划教材。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专业具有完善的教材审批制度，教师编写教材积极性高，本专业教师主编或参编有较高水平的教材，获批省级教材奖二等奖1项，或获批1部以上（含1部）省级规划教材。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专业基层教学组织制度健全，具有合理的教学团队和常态化青年教师成长发展机制。建有1个省级优秀基层教学组织。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专业基层教学组织制度健全，具有合理的教学团队和常态化青年教师成长发展机制。建有1个省级合格基层教学组织。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重视教师培训，注重团队建设，获批1名省级教学名师。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重视教师培训，注重团队建设，获批1名校级教学名师。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教学改革成效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积极推动专业教学改革，鼓励教学研究，考核期内获批</w:t>
            </w:r>
            <w:r>
              <w:rPr>
                <w:rFonts w:ascii="仿宋" w:hAnsi="仿宋" w:eastAsia="仿宋" w:cs="仿宋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项省级及以上教学改革项目（含教师教育项目），或在核心期刊发表教改论文</w:t>
            </w:r>
            <w:r>
              <w:rPr>
                <w:rFonts w:ascii="仿宋" w:hAnsi="仿宋" w:eastAsia="仿宋" w:cs="仿宋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篇及以上。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积极推动专业教学改革，鼓励教学研究，考核期内获批</w:t>
            </w:r>
            <w:r>
              <w:rPr>
                <w:rFonts w:ascii="仿宋" w:hAnsi="仿宋" w:eastAsia="仿宋" w:cs="仿宋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项省级及以上教学改革项目（含教师教育项目），或在核心期刊发表教改论文1篇及以上。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积极推广培育教学成果，获得1项国家级教学成果奖或2项省级教学成果奖。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积极推广培育教学成果，获</w:t>
            </w:r>
            <w:r>
              <w:rPr>
                <w:rFonts w:ascii="仿宋" w:hAnsi="仿宋" w:eastAsia="仿宋" w:cs="仿宋"/>
                <w:kern w:val="0"/>
                <w:sz w:val="21"/>
                <w:szCs w:val="21"/>
              </w:rPr>
              <w:t xml:space="preserve"> 1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项省级教学成果奖。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专业认证与特色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积极筹备专业认证工作，向相关认证机构提交认证申请并通过认证。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积极筹备专业认证工作，向相关认证机构提交认证申请。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专业定位准确，特色显著，与国内、省内其他学校同类专业相比具有一定优势与特色。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专业定位明确，与国内、省内其他学校同类专业相比具有一定优势与特色。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ascii="仿宋" w:hAnsi="仿宋" w:eastAsia="仿宋" w:cs="仿宋"/>
                <w:bCs/>
                <w:kern w:val="0"/>
                <w:sz w:val="21"/>
                <w:szCs w:val="21"/>
              </w:rPr>
              <w:t>负面清单</w:t>
            </w:r>
            <w:r>
              <w:rPr>
                <w:rFonts w:hint="eastAsia" w:ascii="仿宋" w:hAnsi="仿宋" w:eastAsia="仿宋" w:cs="仿宋"/>
                <w:bCs/>
                <w:kern w:val="0"/>
                <w:sz w:val="21"/>
                <w:szCs w:val="21"/>
              </w:rPr>
              <w:t>所列情况</w:t>
            </w:r>
            <w:r>
              <w:rPr>
                <w:rFonts w:hint="eastAsia" w:ascii="仿宋" w:hAnsi="仿宋" w:eastAsia="仿宋" w:cs="仿宋"/>
                <w:bCs/>
                <w:kern w:val="0"/>
                <w:sz w:val="21"/>
                <w:szCs w:val="21"/>
                <w:lang w:eastAsia="zh-CN"/>
              </w:rPr>
              <w:t>（按照实际情况</w:t>
            </w:r>
            <w:r>
              <w:rPr>
                <w:rFonts w:hint="eastAsia" w:ascii="仿宋" w:hAnsi="仿宋" w:eastAsia="仿宋" w:cs="仿宋"/>
                <w:bCs/>
                <w:kern w:val="0"/>
                <w:sz w:val="21"/>
                <w:szCs w:val="21"/>
                <w:lang w:val="en-US" w:eastAsia="zh-CN"/>
              </w:rPr>
              <w:t>1项</w:t>
            </w:r>
            <w:r>
              <w:rPr>
                <w:rFonts w:hint="eastAsia" w:ascii="仿宋" w:hAnsi="仿宋" w:eastAsia="仿宋" w:cs="仿宋"/>
                <w:bCs/>
                <w:kern w:val="0"/>
                <w:sz w:val="21"/>
                <w:szCs w:val="21"/>
                <w:lang w:eastAsia="zh-CN"/>
              </w:rPr>
              <w:t>扣</w:t>
            </w:r>
            <w:r>
              <w:rPr>
                <w:rFonts w:hint="eastAsia" w:ascii="仿宋" w:hAnsi="仿宋" w:eastAsia="仿宋" w:cs="仿宋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kern w:val="0"/>
                <w:sz w:val="21"/>
                <w:szCs w:val="21"/>
                <w:lang w:eastAsia="zh-CN"/>
              </w:rPr>
              <w:t>分）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学生体质检测不合格（-1分）；本科毕业论文抽检被上级部门通报（-3分）；毕业论文查重率高于50%（-3分）；任课教师校级教学督导成绩低于80分（-3分）；学生课堂出勤率低（-2分）；学生考试作弊（-2分）；考研率低于学校平均水平（-2）；监考老师不负责任并造成不良后果（-2）；专业建设专项资金使用进度（-2分）。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kern w:val="0"/>
          <w:sz w:val="21"/>
          <w:szCs w:val="21"/>
        </w:rPr>
      </w:pPr>
      <w:r>
        <w:rPr>
          <w:rFonts w:ascii="仿宋" w:hAnsi="仿宋" w:eastAsia="仿宋" w:cs="仿宋"/>
          <w:kern w:val="0"/>
          <w:sz w:val="21"/>
          <w:szCs w:val="21"/>
        </w:rPr>
        <w:t>备注：一级指标</w:t>
      </w:r>
      <w:r>
        <w:rPr>
          <w:rFonts w:hint="eastAsia" w:ascii="仿宋" w:hAnsi="仿宋" w:eastAsia="仿宋" w:cs="仿宋"/>
          <w:kern w:val="0"/>
          <w:sz w:val="21"/>
          <w:szCs w:val="21"/>
        </w:rPr>
        <w:t>专业类教学质量国家标准达标情况和专业建设成效所占权重分别为40%和60%。</w:t>
      </w:r>
    </w:p>
    <w:p>
      <w:pPr>
        <w:rPr>
          <w:rFonts w:ascii="黑体" w:hAnsi="黑体" w:eastAsia="黑体" w:cs="仿宋"/>
        </w:rPr>
      </w:pPr>
    </w:p>
    <w:p>
      <w:pPr>
        <w:rPr>
          <w:rFonts w:ascii="黑体" w:hAnsi="黑体" w:eastAsia="黑体" w:cs="仿宋"/>
        </w:rPr>
      </w:pPr>
    </w:p>
    <w:p>
      <w:pPr>
        <w:rPr>
          <w:rFonts w:ascii="黑体" w:hAnsi="黑体" w:eastAsia="黑体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B1"/>
    <w:rsid w:val="00121BB1"/>
    <w:rsid w:val="00272C8A"/>
    <w:rsid w:val="003C1230"/>
    <w:rsid w:val="00405247"/>
    <w:rsid w:val="00505041"/>
    <w:rsid w:val="00531C1A"/>
    <w:rsid w:val="00633AA3"/>
    <w:rsid w:val="007C2BF2"/>
    <w:rsid w:val="00B8609B"/>
    <w:rsid w:val="00BD4879"/>
    <w:rsid w:val="00CA2EDB"/>
    <w:rsid w:val="00DA378D"/>
    <w:rsid w:val="41B631C1"/>
    <w:rsid w:val="671B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1809</Words>
  <Characters>1840</Characters>
  <Lines>19</Lines>
  <Paragraphs>5</Paragraphs>
  <TotalTime>1</TotalTime>
  <ScaleCrop>false</ScaleCrop>
  <LinksUpToDate>false</LinksUpToDate>
  <CharactersWithSpaces>1841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2022-04-08T02:04:00Z</dcterms:created>
  <dc:creator>lenovo</dc:creator>
  <cp:lastModifiedBy>神经蛙</cp:lastModifiedBy>
  <dcterms:modified xsi:type="dcterms:W3CDTF">2022-04-11T08:24:23Z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F54BAE8F717D45CEAFA8D11FFF19A8A1</vt:lpwstr>
  </property>
</Properties>
</file>