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60" w:lineRule="exact"/>
        <w:jc w:val="left"/>
        <w:rPr>
          <w:rFonts w:hint="default" w:ascii="黑体" w:hAnsi="黑体" w:eastAsia="黑体" w:cs="黑体"/>
          <w:spacing w:val="-4"/>
          <w:sz w:val="32"/>
          <w:szCs w:val="32"/>
          <w:lang w:val="en-US" w:eastAsia="zh-CN"/>
        </w:rPr>
      </w:pPr>
      <w:r>
        <w:rPr>
          <w:rFonts w:hint="eastAsia" w:ascii="黑体" w:hAnsi="黑体" w:eastAsia="黑体" w:cs="黑体"/>
          <w:spacing w:val="-4"/>
          <w:sz w:val="32"/>
          <w:szCs w:val="32"/>
          <w:lang w:eastAsia="zh-CN"/>
        </w:rPr>
        <w:t>附件</w:t>
      </w:r>
      <w:r>
        <w:rPr>
          <w:rFonts w:hint="eastAsia" w:ascii="黑体" w:hAnsi="黑体" w:eastAsia="黑体" w:cs="黑体"/>
          <w:spacing w:val="-4"/>
          <w:sz w:val="32"/>
          <w:szCs w:val="32"/>
          <w:lang w:val="en-US" w:eastAsia="zh-CN"/>
        </w:rPr>
        <w:t>4</w:t>
      </w:r>
    </w:p>
    <w:p>
      <w:pPr>
        <w:spacing w:after="156" w:afterLines="50" w:line="560" w:lineRule="exact"/>
        <w:jc w:val="center"/>
        <w:rPr>
          <w:rFonts w:ascii="方正小标宋简体" w:hAnsi="Calibri" w:eastAsia="方正小标宋简体" w:cs="Calibri"/>
          <w:spacing w:val="-4"/>
          <w:sz w:val="44"/>
          <w:szCs w:val="44"/>
        </w:rPr>
      </w:pPr>
      <w:r>
        <w:rPr>
          <w:rFonts w:hint="eastAsia" w:ascii="方正小标宋简体" w:hAnsi="Calibri" w:eastAsia="方正小标宋简体" w:cs="Calibri"/>
          <w:spacing w:val="-4"/>
          <w:sz w:val="44"/>
          <w:szCs w:val="44"/>
        </w:rPr>
        <w:t>河南师范大学国家级</w:t>
      </w:r>
      <w:r>
        <w:rPr>
          <w:rFonts w:ascii="方正小标宋简体" w:hAnsi="Calibri" w:eastAsia="方正小标宋简体" w:cs="Calibri"/>
          <w:spacing w:val="-4"/>
          <w:sz w:val="44"/>
          <w:szCs w:val="44"/>
        </w:rPr>
        <w:t>一流本科专业</w:t>
      </w:r>
    </w:p>
    <w:p>
      <w:pPr>
        <w:spacing w:after="156" w:afterLines="50" w:line="560" w:lineRule="exact"/>
        <w:jc w:val="center"/>
        <w:rPr>
          <w:rFonts w:ascii="方正小标宋简体" w:hAnsi="Calibri" w:eastAsia="方正小标宋简体" w:cs="Calibri"/>
          <w:spacing w:val="-4"/>
          <w:sz w:val="44"/>
          <w:szCs w:val="44"/>
        </w:rPr>
      </w:pPr>
      <w:r>
        <w:rPr>
          <w:rFonts w:hint="eastAsia" w:ascii="方正小标宋简体" w:hAnsi="Calibri" w:eastAsia="方正小标宋简体" w:cs="Calibri"/>
          <w:spacing w:val="-4"/>
          <w:sz w:val="44"/>
          <w:szCs w:val="44"/>
        </w:rPr>
        <w:t>建设</w:t>
      </w:r>
      <w:r>
        <w:rPr>
          <w:rFonts w:hint="eastAsia" w:ascii="方正小标宋简体" w:hAnsi="Calibri" w:eastAsia="方正小标宋简体" w:cs="Calibri"/>
          <w:spacing w:val="-4"/>
          <w:sz w:val="44"/>
          <w:szCs w:val="44"/>
          <w:lang w:eastAsia="zh-CN"/>
        </w:rPr>
        <w:t>自评</w:t>
      </w:r>
      <w:r>
        <w:rPr>
          <w:rFonts w:hint="eastAsia" w:ascii="方正小标宋简体" w:hAnsi="Calibri" w:eastAsia="方正小标宋简体" w:cs="Calibri"/>
          <w:spacing w:val="-4"/>
          <w:sz w:val="44"/>
          <w:szCs w:val="44"/>
        </w:rPr>
        <w:t>表</w:t>
      </w:r>
    </w:p>
    <w:tbl>
      <w:tblPr>
        <w:tblStyle w:val="2"/>
        <w:tblW w:w="1489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28"/>
        <w:gridCol w:w="1499"/>
        <w:gridCol w:w="3150"/>
        <w:gridCol w:w="2771"/>
        <w:gridCol w:w="2549"/>
        <w:gridCol w:w="1801"/>
        <w:gridCol w:w="180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3" w:hRule="atLeast"/>
          <w:jc w:val="center"/>
        </w:trPr>
        <w:tc>
          <w:tcPr>
            <w:tcW w:w="1328"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b/>
                <w:bCs/>
                <w:kern w:val="0"/>
                <w:sz w:val="21"/>
                <w:szCs w:val="21"/>
              </w:rPr>
              <w:t>一级</w:t>
            </w:r>
          </w:p>
          <w:p>
            <w:pPr>
              <w:widowControl/>
              <w:spacing w:line="320" w:lineRule="exact"/>
              <w:jc w:val="center"/>
              <w:rPr>
                <w:rFonts w:ascii="仿宋" w:hAnsi="仿宋" w:eastAsia="仿宋" w:cs="仿宋"/>
                <w:kern w:val="0"/>
                <w:sz w:val="21"/>
                <w:szCs w:val="21"/>
              </w:rPr>
            </w:pPr>
            <w:r>
              <w:rPr>
                <w:rFonts w:hint="eastAsia" w:ascii="仿宋" w:hAnsi="仿宋" w:eastAsia="仿宋" w:cs="仿宋"/>
                <w:b/>
                <w:bCs/>
                <w:kern w:val="0"/>
                <w:sz w:val="21"/>
                <w:szCs w:val="21"/>
              </w:rPr>
              <w:t>指标</w:t>
            </w:r>
          </w:p>
        </w:tc>
        <w:tc>
          <w:tcPr>
            <w:tcW w:w="1499"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二级</w:t>
            </w:r>
          </w:p>
          <w:p>
            <w:pPr>
              <w:widowControl/>
              <w:spacing w:line="320" w:lineRule="exact"/>
              <w:jc w:val="center"/>
              <w:rPr>
                <w:rFonts w:ascii="仿宋" w:hAnsi="仿宋" w:eastAsia="仿宋" w:cs="仿宋"/>
                <w:kern w:val="0"/>
                <w:sz w:val="21"/>
                <w:szCs w:val="21"/>
              </w:rPr>
            </w:pPr>
            <w:r>
              <w:rPr>
                <w:rFonts w:hint="eastAsia" w:ascii="仿宋" w:hAnsi="仿宋" w:eastAsia="仿宋" w:cs="仿宋"/>
                <w:b/>
                <w:bCs/>
                <w:kern w:val="0"/>
                <w:sz w:val="21"/>
                <w:szCs w:val="21"/>
              </w:rPr>
              <w:t>指标</w:t>
            </w:r>
          </w:p>
        </w:tc>
        <w:tc>
          <w:tcPr>
            <w:tcW w:w="3150"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b/>
                <w:bCs/>
                <w:kern w:val="0"/>
                <w:sz w:val="21"/>
                <w:szCs w:val="21"/>
              </w:rPr>
              <w:t>建设标准</w:t>
            </w:r>
          </w:p>
        </w:tc>
        <w:tc>
          <w:tcPr>
            <w:tcW w:w="2771"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A类</w:t>
            </w:r>
          </w:p>
        </w:tc>
        <w:tc>
          <w:tcPr>
            <w:tcW w:w="2549"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B类</w:t>
            </w:r>
          </w:p>
        </w:tc>
        <w:tc>
          <w:tcPr>
            <w:tcW w:w="1801"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C类</w:t>
            </w:r>
          </w:p>
        </w:tc>
        <w:tc>
          <w:tcPr>
            <w:tcW w:w="1801"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b/>
                <w:bCs/>
                <w:kern w:val="0"/>
                <w:sz w:val="21"/>
                <w:szCs w:val="21"/>
                <w:lang w:eastAsia="zh-CN"/>
              </w:rPr>
            </w:pPr>
            <w:r>
              <w:rPr>
                <w:rFonts w:hint="eastAsia" w:ascii="仿宋" w:hAnsi="仿宋" w:eastAsia="仿宋" w:cs="仿宋"/>
                <w:b/>
                <w:bCs/>
                <w:kern w:val="0"/>
                <w:sz w:val="21"/>
                <w:szCs w:val="21"/>
                <w:lang w:eastAsia="zh-CN"/>
              </w:rPr>
              <w:t>自评得分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00" w:hRule="atLeast"/>
          <w:jc w:val="center"/>
        </w:trPr>
        <w:tc>
          <w:tcPr>
            <w:tcW w:w="1328" w:type="dxa"/>
            <w:vMerge w:val="restart"/>
            <w:vAlign w:val="center"/>
          </w:tcPr>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专业类教学质量国家标准达标情况</w:t>
            </w:r>
          </w:p>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（100分）</w:t>
            </w:r>
          </w:p>
        </w:tc>
        <w:tc>
          <w:tcPr>
            <w:tcW w:w="149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培养目标(15)</w:t>
            </w: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专业培养目标契合教学质量国家标准指导意见。</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培养目标能够贯彻党的教育方针，落实国家相关政策要求，符合学校发展定位；专业培养目标内容明确清晰，能够反映学生毕业5年左右在社会和专业领域的发展预期，能够被学生、教师、教学管理人员及其他利益相关方理解和认同；定期进行合理性评价，并根据评价结果进行修改。（10-15分）</w:t>
            </w: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培养目标能够贯彻党的教育方针，落实国家相关政策要求，符合学校发展定位；专业培养目标内容明确清晰，能够反映学生毕业5年左右在社会和专业领域的发展预期，能够被学生、教师、教学管理人员及其他利益相关方理解和认同；未定期进行合理性评价。（7-10分）</w:t>
            </w: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专业培养目标能够贯彻党的教育方针，落实国家相关政策要求，符合学校发展定位；专业培养目标内容不明确，未定期进行合理性评价。（0-7分）</w:t>
            </w:r>
          </w:p>
        </w:tc>
        <w:tc>
          <w:tcPr>
            <w:tcW w:w="1801"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b/>
                <w:bCs/>
                <w:kern w:val="0"/>
                <w:sz w:val="21"/>
                <w:szCs w:val="21"/>
              </w:rPr>
            </w:pPr>
          </w:p>
        </w:tc>
        <w:tc>
          <w:tcPr>
            <w:tcW w:w="149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课程体系</w:t>
            </w:r>
          </w:p>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(20)</w:t>
            </w: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专业课程体系总体框架、各类型课程设置、核心课程开出率、实践教学过程符合教学质量国家标准，注重课程思政建设。</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课程体系能够支撑专业毕业要求，各类型课程设置比例合理，核心课程开出率达到90%以上；专业实习（教育实践）到达全覆盖，实习过程化管理支撑材料完备；注重课程思政建设，课程大纲（教案）有明确的课程思政内容。（15-20分）</w:t>
            </w: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课程体系能够支撑专业毕业要求，各类型课程设置比例合理，核心课程开出率达到75%以上；专业实习（教育实践）基本覆盖，有实习过程化管理支撑材料；进行了课程思政建设，部分课程大纲（教案）含有课程思政内容。（10-15分）</w:t>
            </w: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课程体系基本支撑专业毕业要求，各类型课程设置比例基本合理，核心课程开出率达到60%以上；专业实习（教育实践）覆盖率不足70%，实习过程化管理材料不完备；不重视课程思政建设。（0-10分）</w:t>
            </w:r>
          </w:p>
        </w:tc>
        <w:tc>
          <w:tcPr>
            <w:tcW w:w="1801"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b/>
                <w:bCs/>
                <w:kern w:val="0"/>
                <w:sz w:val="21"/>
                <w:szCs w:val="21"/>
              </w:rPr>
            </w:pPr>
          </w:p>
        </w:tc>
        <w:tc>
          <w:tcPr>
            <w:tcW w:w="149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教学规范(15)</w:t>
            </w: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本专业教师教学过程及教学行为规范，教学管理文件及教学档案齐备，符合教学质量国家标准。</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有相对稳定的教学计划，执行变动过程有规范的论证和审批手续，具有完备的教学日历、课程大纲和教案，教学管理文件及教学档案完备，且有专人负责。（10-15分）</w:t>
            </w: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有相对稳定的教学计划，执行变动有审批手续，有完备的教学日历、课程大纲和教案，教学管理文件及教学档案基本完备。（7-10分）</w:t>
            </w: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教学计划变动随意，缺少变动审批手续，各类教学管理文件及教学档案不规范。（0-7分）</w:t>
            </w:r>
          </w:p>
        </w:tc>
        <w:tc>
          <w:tcPr>
            <w:tcW w:w="1801"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b/>
                <w:bCs/>
                <w:kern w:val="0"/>
                <w:sz w:val="21"/>
                <w:szCs w:val="21"/>
              </w:rPr>
            </w:pPr>
          </w:p>
        </w:tc>
        <w:tc>
          <w:tcPr>
            <w:tcW w:w="149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师资队伍(15)</w:t>
            </w: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专业师资规模、结构及教师水平符合教学质量国家标准，专业生师比符合相关认证标准。</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专业有10名及以上专任教师，专任教师中硕博学位的比例达到90%，高级职称比例达到50%，教授给本科生上课比例达到100%，生师比低于18:1。（10-15分）</w:t>
            </w: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专业有7名及以上专任教师，专任教师中硕博学位的比例达到75%，高级职称比例达到30%，教授给本科生上课比例达到80%，生师比不高于18:1。（7-10分）</w:t>
            </w: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专业有5名及以上专任教师，专任教师中硕博学位的比例达到65%，高级职称比例低于30%，教授给本科生上课比例不足80%，生师比高于18:1。（0-7分）</w:t>
            </w:r>
          </w:p>
        </w:tc>
        <w:tc>
          <w:tcPr>
            <w:tcW w:w="1801"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b/>
                <w:bCs/>
                <w:kern w:val="0"/>
                <w:sz w:val="21"/>
                <w:szCs w:val="21"/>
              </w:rPr>
            </w:pPr>
          </w:p>
        </w:tc>
        <w:tc>
          <w:tcPr>
            <w:tcW w:w="149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教学条件(20)</w:t>
            </w: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专业教学设施建设、信息资源购置、实践基地数量、教学经费投入符合教学质量国家标准。</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配备足够的教学实验实训资源，实践基地与实习生比例达高于1:20，生均教学经费超过学校平均水平的15%。（15-20分）</w:t>
            </w: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实验实训资源能基本满足本专业教学需要，实践基地与实习生比例达到1:20，生均教学经费超过学校平均水平的8%。（10-15分）</w:t>
            </w: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实验实训资源能不能满足本专业教学需要，实践基地与实习生比例不足1:20，生均教学经费低于学校平均水平的8%。（0-10分）</w:t>
            </w:r>
          </w:p>
        </w:tc>
        <w:tc>
          <w:tcPr>
            <w:tcW w:w="1801"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b/>
                <w:bCs/>
                <w:kern w:val="0"/>
                <w:sz w:val="21"/>
                <w:szCs w:val="21"/>
              </w:rPr>
            </w:pPr>
          </w:p>
        </w:tc>
        <w:tc>
          <w:tcPr>
            <w:tcW w:w="149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质量保障(15)</w:t>
            </w: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专业设有质量保障体系，教学过程质量监控机制、毕业生跟踪反馈机制、持续改进机制符合教学质量国家标准。</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设有质量保障体系，反馈渠道顺畅，建立毕业生跟踪反馈机制，具有完备的毕业生跟踪反馈材料，能够根据问题持续改进，并有完备的持续改进档案。（10-15分）</w:t>
            </w: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设有质量保障体系，反馈渠道顺畅，建立毕业生跟踪反馈机制，有毕业生跟踪反馈材料，有持续改进机制。（7-10分）</w:t>
            </w: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设有质量保障体系，反馈渠道不畅，不了解大多数毕业生就业去向和用人单位满意度，无持续改进材料。（0-7分）</w:t>
            </w:r>
          </w:p>
        </w:tc>
        <w:tc>
          <w:tcPr>
            <w:tcW w:w="1801"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restart"/>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b/>
                <w:bCs/>
                <w:kern w:val="0"/>
                <w:sz w:val="21"/>
                <w:szCs w:val="21"/>
              </w:rPr>
              <w:t>专业建设成效（100分）</w:t>
            </w:r>
          </w:p>
        </w:tc>
        <w:tc>
          <w:tcPr>
            <w:tcW w:w="1499"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人才培养成效（30）</w:t>
            </w: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较立项当年专业招生考试第一志愿上线率、新生报到率有明显提高。</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较立项当年专业招生考试第一志愿上线率、新生报到率提高1%。（3-5分）</w:t>
            </w: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较立项当年专业招生考试第一志愿上线率、新生报到率提高不明显。（1-3分）</w:t>
            </w: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较立项当年专业招生考试第一志愿上线率、新生报到率无提高。（0分）</w:t>
            </w:r>
          </w:p>
        </w:tc>
        <w:tc>
          <w:tcPr>
            <w:tcW w:w="1801"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kern w:val="0"/>
                <w:sz w:val="21"/>
                <w:szCs w:val="21"/>
              </w:rPr>
            </w:pPr>
          </w:p>
        </w:tc>
        <w:tc>
          <w:tcPr>
            <w:tcW w:w="149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sz w:val="21"/>
                <w:szCs w:val="21"/>
              </w:rPr>
              <w:t>专业实习管理规范，实习教学效果良好；重视学生实践能力培养，学生在国家级比赛中表现优秀，取得较好名次。</w:t>
            </w:r>
          </w:p>
        </w:tc>
        <w:tc>
          <w:tcPr>
            <w:tcW w:w="2771"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有详细的专业实习（教育实践）细则，配备有足够的指导教师，国家级一流本专业学生在国家级比赛中获得二等奖及以上奖励。（7-10分）</w:t>
            </w:r>
          </w:p>
        </w:tc>
        <w:tc>
          <w:tcPr>
            <w:tcW w:w="2549"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有专业实习（教育实践）细则，配备有一定数量的指导教师，国家级一流本专业学生在国家级比赛中获得奖励。（4-7分）</w:t>
            </w:r>
          </w:p>
        </w:tc>
        <w:tc>
          <w:tcPr>
            <w:tcW w:w="1801"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有专业实习（教育实践）细则，配备有一定数量的指导教师，在国家级或省级比赛中无学生获奖。（0-4分）</w:t>
            </w:r>
          </w:p>
        </w:tc>
        <w:tc>
          <w:tcPr>
            <w:tcW w:w="1801"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kern w:val="0"/>
                <w:sz w:val="21"/>
                <w:szCs w:val="21"/>
              </w:rPr>
            </w:pPr>
          </w:p>
        </w:tc>
        <w:tc>
          <w:tcPr>
            <w:tcW w:w="149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专业严格执行毕业论文（设计）标准和规定，高阶性、创新性、挑战度的优良毕业论文（设计）占比高，有省级优秀毕业论文</w:t>
            </w:r>
            <w:r>
              <w:rPr>
                <w:rFonts w:ascii="仿宋" w:hAnsi="仿宋" w:eastAsia="仿宋" w:cs="仿宋"/>
                <w:sz w:val="21"/>
                <w:szCs w:val="21"/>
              </w:rPr>
              <w:t>2</w:t>
            </w:r>
            <w:r>
              <w:rPr>
                <w:rFonts w:hint="eastAsia" w:ascii="仿宋" w:hAnsi="仿宋" w:eastAsia="仿宋" w:cs="仿宋"/>
                <w:sz w:val="21"/>
                <w:szCs w:val="21"/>
              </w:rPr>
              <w:t>篇及以上。</w:t>
            </w:r>
          </w:p>
        </w:tc>
        <w:tc>
          <w:tcPr>
            <w:tcW w:w="2771"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对毕业论文（设计）选题、内容、学生指导、答辩等有明确要求，有完备的毕业论文（设计）过程化管理材料，有省级优秀毕业论文1篇及以上。（7-10分）</w:t>
            </w:r>
          </w:p>
        </w:tc>
        <w:tc>
          <w:tcPr>
            <w:tcW w:w="2549"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对毕业论文（设计）选题、内容、学生指导、答辩等有明确要求，有毕业论文（设计）过程化管理材料，推荐省级优秀毕业论文1篇及以上。（4-7分）</w:t>
            </w:r>
          </w:p>
        </w:tc>
        <w:tc>
          <w:tcPr>
            <w:tcW w:w="1801"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对毕业论文（设计）选题、内容、学生指导、答辩等有要求，毕业论文（设计）过程化管理材料不齐全，没有推荐省级优秀毕业论文。（0-4分）</w:t>
            </w:r>
          </w:p>
        </w:tc>
        <w:tc>
          <w:tcPr>
            <w:tcW w:w="1801"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kern w:val="0"/>
                <w:sz w:val="21"/>
                <w:szCs w:val="21"/>
              </w:rPr>
            </w:pPr>
          </w:p>
        </w:tc>
        <w:tc>
          <w:tcPr>
            <w:tcW w:w="149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kern w:val="0"/>
                <w:sz w:val="21"/>
                <w:szCs w:val="21"/>
              </w:rPr>
              <w:t>专业就业率有较大提高；建立就业跟踪机制，能够定期对社会需求和毕业生质量进行跟踪调查，毕业生受到用人单位广泛欢迎，社会声誉高。</w:t>
            </w:r>
          </w:p>
        </w:tc>
        <w:tc>
          <w:tcPr>
            <w:tcW w:w="2771"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 xml:space="preserve">    国家级一流本科专业就业率较立项当年提高3%，有完备的毕业生跟踪机制，用人单位满意度超过80%。（3-5分）</w:t>
            </w: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专业就业率较立项当年提高不明显，有毕业生跟踪机制，用人单位满意度超过65%。（1-3分）</w:t>
            </w: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专业就业率较立项当年无提高，毕业生跟踪机制不完善，用人单位满意度不足65%。（0分）</w:t>
            </w:r>
          </w:p>
        </w:tc>
        <w:tc>
          <w:tcPr>
            <w:tcW w:w="1801"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kern w:val="0"/>
                <w:sz w:val="21"/>
                <w:szCs w:val="21"/>
              </w:rPr>
            </w:pPr>
          </w:p>
        </w:tc>
        <w:tc>
          <w:tcPr>
            <w:tcW w:w="1499"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教学工程建设成效（30）</w:t>
            </w: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专业具备支撑一流专业人才培养的课程体系，建设一批高水平课程，获批1门以上（含1门）国家级金课或3门省级金课；全面推进课程思政建设，获批1项（含1项）以上国家级课程思政示范课、课程思政团队、课程思政研究中心等。</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建设一批高水平课程，专业获批有国家级金课或1门及以上省级金课，全面推进课程思政建设，专业获批有国家级课程思政奖励或1项及以上省级课程思政类奖励。（7-10分）</w:t>
            </w: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建设有高水平课程，专业获批有省级金课，积极推进课程思政建设，专业获批有省级课程思政类奖励。（4-7分）</w:t>
            </w: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积极申报打造高水平课程，积极推进课程思政建设。（0-4分）</w:t>
            </w:r>
          </w:p>
        </w:tc>
        <w:tc>
          <w:tcPr>
            <w:tcW w:w="1801"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kern w:val="0"/>
                <w:sz w:val="21"/>
                <w:szCs w:val="21"/>
              </w:rPr>
            </w:pPr>
          </w:p>
        </w:tc>
        <w:tc>
          <w:tcPr>
            <w:tcW w:w="149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专业具有完善的教材审核制度，教师编写教材积极性高，本专业教师主编或参编有较高水平的教材，获批省级教材奖一等奖1项，或获批1部以上（含1部）国家级规划教材。</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具有完备的教材审核制度，国家级一流本科专业建设点获批省级教材奖一等奖以上，或获批1部以上（含1部）省级重点立项规划教材。（7-10分）</w:t>
            </w:r>
          </w:p>
        </w:tc>
        <w:tc>
          <w:tcPr>
            <w:tcW w:w="2549" w:type="dxa"/>
            <w:tcMar>
              <w:top w:w="0" w:type="dxa"/>
              <w:left w:w="108" w:type="dxa"/>
              <w:bottom w:w="0" w:type="dxa"/>
              <w:right w:w="108" w:type="dxa"/>
            </w:tcMar>
            <w:vAlign w:val="center"/>
          </w:tcPr>
          <w:p>
            <w:pPr>
              <w:widowControl/>
              <w:spacing w:line="320" w:lineRule="exact"/>
              <w:ind w:firstLine="420" w:firstLineChars="200"/>
              <w:rPr>
                <w:rFonts w:ascii="仿宋" w:hAnsi="仿宋" w:eastAsia="仿宋" w:cs="仿宋"/>
                <w:kern w:val="0"/>
                <w:sz w:val="21"/>
                <w:szCs w:val="21"/>
              </w:rPr>
            </w:pPr>
            <w:r>
              <w:rPr>
                <w:rFonts w:hint="eastAsia" w:ascii="仿宋" w:hAnsi="仿宋" w:eastAsia="仿宋" w:cs="仿宋"/>
                <w:kern w:val="0"/>
                <w:sz w:val="21"/>
                <w:szCs w:val="21"/>
              </w:rPr>
              <w:t>具有较完备的教材审核制度，国家级一流本科专业建设点获批省级教材奖二等奖以上，或获批1部以上（含1部）省级规划教材。（4-7分）</w:t>
            </w:r>
          </w:p>
        </w:tc>
        <w:tc>
          <w:tcPr>
            <w:tcW w:w="1801"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 xml:space="preserve">  具有教材审核制度，专业获批后没有教师主编出版教材。（0-4分）</w:t>
            </w:r>
          </w:p>
        </w:tc>
        <w:tc>
          <w:tcPr>
            <w:tcW w:w="1801"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kern w:val="0"/>
                <w:sz w:val="21"/>
                <w:szCs w:val="21"/>
              </w:rPr>
            </w:pPr>
          </w:p>
        </w:tc>
        <w:tc>
          <w:tcPr>
            <w:tcW w:w="149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sz w:val="21"/>
                <w:szCs w:val="21"/>
              </w:rPr>
              <w:t>专业基层教学组织制度健全，具有合理的教学团队和常态化青年教师成长发展机制。建有1个省级优秀基层教学组织。</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专业基层教学组织制度健全，具有合理的教学团队和常态化青年教师成长发展机制。</w:t>
            </w:r>
            <w:r>
              <w:rPr>
                <w:rFonts w:hint="eastAsia" w:ascii="仿宋" w:hAnsi="仿宋" w:eastAsia="仿宋" w:cs="仿宋"/>
                <w:kern w:val="0"/>
                <w:sz w:val="21"/>
                <w:szCs w:val="21"/>
              </w:rPr>
              <w:t>国家级一流本科专业建设点</w:t>
            </w:r>
            <w:r>
              <w:rPr>
                <w:rFonts w:hint="eastAsia" w:ascii="仿宋" w:hAnsi="仿宋" w:eastAsia="仿宋" w:cs="仿宋"/>
                <w:sz w:val="21"/>
                <w:szCs w:val="21"/>
              </w:rPr>
              <w:t>建有1个省级优秀基层教学组织。（3-5分）</w:t>
            </w:r>
          </w:p>
        </w:tc>
        <w:tc>
          <w:tcPr>
            <w:tcW w:w="2549"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专业基层教学组织制度较健全，有常态化青年教师成长发展机制。</w:t>
            </w:r>
            <w:r>
              <w:rPr>
                <w:rFonts w:hint="eastAsia" w:ascii="仿宋" w:hAnsi="仿宋" w:eastAsia="仿宋" w:cs="仿宋"/>
                <w:kern w:val="0"/>
                <w:sz w:val="21"/>
                <w:szCs w:val="21"/>
              </w:rPr>
              <w:t>国家级一流本科专业建设点</w:t>
            </w:r>
            <w:r>
              <w:rPr>
                <w:rFonts w:hint="eastAsia" w:ascii="仿宋" w:hAnsi="仿宋" w:eastAsia="仿宋" w:cs="仿宋"/>
                <w:sz w:val="21"/>
                <w:szCs w:val="21"/>
              </w:rPr>
              <w:t>建有1个省级合格基层教学组织。（1-3分）</w:t>
            </w:r>
          </w:p>
        </w:tc>
        <w:tc>
          <w:tcPr>
            <w:tcW w:w="1801"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专业基层教学组织管理不规范，无建设成果。（0分） </w:t>
            </w:r>
          </w:p>
        </w:tc>
        <w:tc>
          <w:tcPr>
            <w:tcW w:w="1801"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kern w:val="0"/>
                <w:sz w:val="21"/>
                <w:szCs w:val="21"/>
              </w:rPr>
            </w:pPr>
          </w:p>
        </w:tc>
        <w:tc>
          <w:tcPr>
            <w:tcW w:w="149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sz w:val="21"/>
                <w:szCs w:val="21"/>
              </w:rPr>
              <w:t>重视教师培训，注重团队建设，获批1名省级教学名师。</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有科学可行的教师培训方案，获批有教学名师。（3-5分）</w:t>
            </w:r>
          </w:p>
        </w:tc>
        <w:tc>
          <w:tcPr>
            <w:tcW w:w="2549"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有科学可行的教师培训方案。（1-3分）</w:t>
            </w:r>
          </w:p>
        </w:tc>
        <w:tc>
          <w:tcPr>
            <w:tcW w:w="1801"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不重视教师培训、团队建设，教学名师。（0分）</w:t>
            </w:r>
          </w:p>
        </w:tc>
        <w:tc>
          <w:tcPr>
            <w:tcW w:w="1801"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1499"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教学改革成效（20）</w:t>
            </w: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积极推动专业教学改革，鼓励教学研究，考核期内获批</w:t>
            </w:r>
            <w:r>
              <w:rPr>
                <w:rFonts w:ascii="仿宋" w:hAnsi="仿宋" w:eastAsia="仿宋" w:cs="仿宋"/>
                <w:kern w:val="0"/>
                <w:sz w:val="21"/>
                <w:szCs w:val="21"/>
              </w:rPr>
              <w:t>2</w:t>
            </w:r>
            <w:r>
              <w:rPr>
                <w:rFonts w:hint="eastAsia" w:ascii="仿宋" w:hAnsi="仿宋" w:eastAsia="仿宋" w:cs="仿宋"/>
                <w:kern w:val="0"/>
                <w:sz w:val="21"/>
                <w:szCs w:val="21"/>
              </w:rPr>
              <w:t>项省级及以上教学改革项目（含教师教育项目），或在核心期刊发表教改论文</w:t>
            </w:r>
            <w:r>
              <w:rPr>
                <w:rFonts w:ascii="仿宋" w:hAnsi="仿宋" w:eastAsia="仿宋" w:cs="仿宋"/>
                <w:kern w:val="0"/>
                <w:sz w:val="21"/>
                <w:szCs w:val="21"/>
              </w:rPr>
              <w:t>2</w:t>
            </w:r>
            <w:r>
              <w:rPr>
                <w:rFonts w:hint="eastAsia" w:ascii="仿宋" w:hAnsi="仿宋" w:eastAsia="仿宋" w:cs="仿宋"/>
                <w:kern w:val="0"/>
                <w:sz w:val="21"/>
                <w:szCs w:val="21"/>
              </w:rPr>
              <w:t>篇及以上。</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积极推动专业教学改革，鼓励教学研究；国家级一流本科专业建设点获批2项省级及以上教学改革项目（含教师教育项目）或在核心期刊发表教改论文2篇及以上。（7-10分）</w:t>
            </w:r>
          </w:p>
          <w:p>
            <w:pPr>
              <w:widowControl/>
              <w:spacing w:line="320" w:lineRule="exact"/>
              <w:ind w:firstLine="420"/>
              <w:jc w:val="left"/>
              <w:rPr>
                <w:rFonts w:ascii="仿宋" w:hAnsi="仿宋" w:eastAsia="仿宋" w:cs="仿宋"/>
                <w:kern w:val="0"/>
                <w:sz w:val="21"/>
                <w:szCs w:val="21"/>
              </w:rPr>
            </w:pP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鼓励教学研究，国家级一流本科专业建设点获批1项省级及以上教学改革项目（含教师教育项目）或在核心期刊发表教改论文1篇及以上。（4-7分）</w:t>
            </w:r>
          </w:p>
          <w:p>
            <w:pPr>
              <w:widowControl/>
              <w:spacing w:line="320" w:lineRule="exact"/>
              <w:ind w:firstLine="420"/>
              <w:jc w:val="left"/>
              <w:rPr>
                <w:rFonts w:ascii="仿宋" w:hAnsi="仿宋" w:eastAsia="仿宋" w:cs="仿宋"/>
                <w:kern w:val="0"/>
                <w:sz w:val="21"/>
                <w:szCs w:val="21"/>
              </w:rPr>
            </w:pP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sz w:val="21"/>
                <w:szCs w:val="21"/>
              </w:rPr>
              <w:t>鼓励教学研究，但没有相应成果。（1-3分）</w:t>
            </w:r>
          </w:p>
        </w:tc>
        <w:tc>
          <w:tcPr>
            <w:tcW w:w="1801"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kern w:val="0"/>
                <w:sz w:val="21"/>
                <w:szCs w:val="21"/>
              </w:rPr>
            </w:pPr>
          </w:p>
        </w:tc>
        <w:tc>
          <w:tcPr>
            <w:tcW w:w="149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积极推广培育教学成果，获得1项国家级教学成果奖或2项省级教学成果奖。</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积极推广培育教学成果，国家级一流本科专业建设点获得1项国家级教学成果奖或2项省级教学成果奖。（7-10分）</w:t>
            </w:r>
          </w:p>
          <w:p>
            <w:pPr>
              <w:widowControl/>
              <w:spacing w:line="320" w:lineRule="exact"/>
              <w:jc w:val="center"/>
              <w:rPr>
                <w:rFonts w:ascii="仿宋" w:hAnsi="仿宋" w:eastAsia="仿宋" w:cs="仿宋"/>
                <w:kern w:val="0"/>
                <w:sz w:val="21"/>
                <w:szCs w:val="21"/>
              </w:rPr>
            </w:pP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积极推广培育教学成果，国家级一流本科专业建设点获得1项及以上省级教学成果奖。（4-7分）</w:t>
            </w:r>
          </w:p>
          <w:p>
            <w:pPr>
              <w:widowControl/>
              <w:spacing w:line="320" w:lineRule="exact"/>
              <w:jc w:val="center"/>
              <w:rPr>
                <w:rFonts w:ascii="仿宋" w:hAnsi="仿宋" w:eastAsia="仿宋" w:cs="仿宋"/>
                <w:kern w:val="0"/>
                <w:sz w:val="21"/>
                <w:szCs w:val="21"/>
              </w:rPr>
            </w:pP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积极推广培育教学成果，但没有相应成果。（1-3分）</w:t>
            </w:r>
          </w:p>
          <w:p>
            <w:pPr>
              <w:widowControl/>
              <w:spacing w:line="320" w:lineRule="exact"/>
              <w:jc w:val="center"/>
              <w:rPr>
                <w:rFonts w:ascii="仿宋" w:hAnsi="仿宋" w:eastAsia="仿宋" w:cs="仿宋"/>
                <w:kern w:val="0"/>
                <w:sz w:val="21"/>
                <w:szCs w:val="21"/>
              </w:rPr>
            </w:pPr>
          </w:p>
        </w:tc>
        <w:tc>
          <w:tcPr>
            <w:tcW w:w="1801"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kern w:val="0"/>
                <w:sz w:val="21"/>
                <w:szCs w:val="21"/>
              </w:rPr>
            </w:pPr>
          </w:p>
        </w:tc>
        <w:tc>
          <w:tcPr>
            <w:tcW w:w="1499"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专业认证与特色（20）</w:t>
            </w: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积极筹备专业认证工作，向相关认证机构提交认证申请并通过认证。</w:t>
            </w:r>
          </w:p>
        </w:tc>
        <w:tc>
          <w:tcPr>
            <w:tcW w:w="277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积极筹备专业认证工作，国家级一流本科专业建设点向相关认证机构提交认证申请并通过认证。（7-10分）</w:t>
            </w:r>
          </w:p>
          <w:p>
            <w:pPr>
              <w:widowControl/>
              <w:spacing w:line="320" w:lineRule="exact"/>
              <w:ind w:firstLine="420"/>
              <w:jc w:val="left"/>
              <w:rPr>
                <w:rFonts w:ascii="仿宋" w:hAnsi="仿宋" w:eastAsia="仿宋" w:cs="仿宋"/>
                <w:kern w:val="0"/>
                <w:sz w:val="21"/>
                <w:szCs w:val="21"/>
              </w:rPr>
            </w:pPr>
          </w:p>
        </w:tc>
        <w:tc>
          <w:tcPr>
            <w:tcW w:w="2549"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积极筹备专业认证工作，学习认证理念，向学校提交认证申请书。（4-7分）</w:t>
            </w:r>
          </w:p>
          <w:p>
            <w:pPr>
              <w:widowControl/>
              <w:spacing w:line="320" w:lineRule="exact"/>
              <w:ind w:firstLine="420"/>
              <w:jc w:val="left"/>
              <w:rPr>
                <w:rFonts w:ascii="仿宋" w:hAnsi="仿宋" w:eastAsia="仿宋" w:cs="仿宋"/>
                <w:kern w:val="0"/>
                <w:sz w:val="21"/>
                <w:szCs w:val="21"/>
              </w:rPr>
            </w:pPr>
          </w:p>
        </w:tc>
        <w:tc>
          <w:tcPr>
            <w:tcW w:w="180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sz w:val="21"/>
                <w:szCs w:val="21"/>
              </w:rPr>
              <w:t>开展认证培训，学习认证理念，未开始准备认证申请材料。（1-4分）</w:t>
            </w:r>
          </w:p>
        </w:tc>
        <w:tc>
          <w:tcPr>
            <w:tcW w:w="1801"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b/>
                <w:bCs/>
                <w:kern w:val="0"/>
                <w:sz w:val="21"/>
                <w:szCs w:val="21"/>
              </w:rPr>
            </w:pPr>
          </w:p>
        </w:tc>
        <w:tc>
          <w:tcPr>
            <w:tcW w:w="1499"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5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kern w:val="0"/>
                <w:sz w:val="21"/>
                <w:szCs w:val="21"/>
              </w:rPr>
              <w:t>专业定位准确，特色显著，与国内、省内其他学校同类专业相比具有一定优势与特色。</w:t>
            </w:r>
          </w:p>
        </w:tc>
        <w:tc>
          <w:tcPr>
            <w:tcW w:w="2771"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sz w:val="21"/>
                <w:szCs w:val="21"/>
              </w:rPr>
              <w:t xml:space="preserve">    专业定位准确，特色显著，与国内、省内其他学校同类专业相比具有一定优势与特色。（7-10分）</w:t>
            </w:r>
          </w:p>
        </w:tc>
        <w:tc>
          <w:tcPr>
            <w:tcW w:w="254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sz w:val="21"/>
                <w:szCs w:val="21"/>
              </w:rPr>
              <w:t xml:space="preserve">   专业定位清晰，与国内、省内其他学校同类专业相比具有一定特色。（4-7分）</w:t>
            </w:r>
          </w:p>
        </w:tc>
        <w:tc>
          <w:tcPr>
            <w:tcW w:w="1801"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sz w:val="21"/>
                <w:szCs w:val="21"/>
              </w:rPr>
              <w:t>专业定位清晰，特色与优势不足。（1-4分）</w:t>
            </w:r>
          </w:p>
        </w:tc>
        <w:tc>
          <w:tcPr>
            <w:tcW w:w="1801"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1328" w:type="dxa"/>
            <w:vMerge w:val="continue"/>
            <w:vAlign w:val="center"/>
          </w:tcPr>
          <w:p>
            <w:pPr>
              <w:widowControl/>
              <w:spacing w:line="320" w:lineRule="exact"/>
              <w:jc w:val="center"/>
              <w:rPr>
                <w:rFonts w:ascii="仿宋" w:hAnsi="仿宋" w:eastAsia="仿宋" w:cs="仿宋"/>
                <w:b/>
                <w:bCs/>
                <w:kern w:val="0"/>
                <w:sz w:val="21"/>
                <w:szCs w:val="21"/>
              </w:rPr>
            </w:pPr>
          </w:p>
        </w:tc>
        <w:tc>
          <w:tcPr>
            <w:tcW w:w="1499"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ascii="仿宋" w:hAnsi="仿宋" w:eastAsia="仿宋" w:cs="仿宋"/>
                <w:bCs/>
                <w:kern w:val="0"/>
                <w:sz w:val="21"/>
                <w:szCs w:val="21"/>
              </w:rPr>
              <w:t>负面清单</w:t>
            </w:r>
          </w:p>
        </w:tc>
        <w:tc>
          <w:tcPr>
            <w:tcW w:w="3150" w:type="dxa"/>
            <w:tcMar>
              <w:top w:w="0" w:type="dxa"/>
              <w:left w:w="108" w:type="dxa"/>
              <w:bottom w:w="0" w:type="dxa"/>
              <w:right w:w="108" w:type="dxa"/>
            </w:tcMar>
            <w:vAlign w:val="center"/>
          </w:tcPr>
          <w:p>
            <w:pPr>
              <w:widowControl/>
              <w:spacing w:line="320" w:lineRule="exact"/>
              <w:jc w:val="center"/>
              <w:rPr>
                <w:rFonts w:ascii="仿宋" w:hAnsi="仿宋" w:eastAsia="仿宋" w:cs="仿宋"/>
                <w:bCs/>
                <w:kern w:val="0"/>
                <w:sz w:val="21"/>
                <w:szCs w:val="21"/>
              </w:rPr>
            </w:pPr>
            <w:r>
              <w:rPr>
                <w:rFonts w:hint="eastAsia" w:ascii="仿宋" w:hAnsi="仿宋" w:eastAsia="仿宋" w:cs="仿宋"/>
                <w:kern w:val="0"/>
                <w:sz w:val="21"/>
                <w:szCs w:val="21"/>
              </w:rPr>
              <w:t>学生体质检测不合格；本科毕业论文抽检被上级部门通报；毕业论文查重率高于50%；任课教师校级教学督导成绩低于80分；学生课堂出勤率低；学生考试作弊；考研率低于学校平均水平；监考老师不负责任并造成不良后果；专业建设专项资金使用进度。</w:t>
            </w:r>
          </w:p>
        </w:tc>
        <w:tc>
          <w:tcPr>
            <w:tcW w:w="7121" w:type="dxa"/>
            <w:gridSpan w:val="3"/>
            <w:tcMar>
              <w:top w:w="0" w:type="dxa"/>
              <w:left w:w="108" w:type="dxa"/>
              <w:bottom w:w="0" w:type="dxa"/>
              <w:right w:w="108" w:type="dxa"/>
            </w:tcMar>
            <w:vAlign w:val="center"/>
          </w:tcPr>
          <w:p>
            <w:pPr>
              <w:widowControl/>
              <w:spacing w:line="320" w:lineRule="exact"/>
              <w:jc w:val="center"/>
              <w:rPr>
                <w:rFonts w:ascii="仿宋" w:hAnsi="仿宋" w:eastAsia="仿宋" w:cs="仿宋"/>
                <w:bCs/>
                <w:kern w:val="0"/>
                <w:sz w:val="21"/>
                <w:szCs w:val="21"/>
              </w:rPr>
            </w:pPr>
            <w:r>
              <w:rPr>
                <w:rFonts w:hint="eastAsia" w:ascii="仿宋" w:hAnsi="仿宋" w:eastAsia="仿宋" w:cs="仿宋"/>
                <w:bCs/>
                <w:kern w:val="0"/>
                <w:sz w:val="21"/>
                <w:szCs w:val="21"/>
              </w:rPr>
              <w:t>负面清单所列情况有1项扣1分。</w:t>
            </w:r>
          </w:p>
        </w:tc>
        <w:tc>
          <w:tcPr>
            <w:tcW w:w="1801"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bCs/>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0" w:hRule="atLeast"/>
          <w:jc w:val="center"/>
        </w:trPr>
        <w:tc>
          <w:tcPr>
            <w:tcW w:w="13098" w:type="dxa"/>
            <w:gridSpan w:val="6"/>
            <w:vAlign w:val="center"/>
          </w:tcPr>
          <w:p>
            <w:pPr>
              <w:widowControl/>
              <w:spacing w:line="320" w:lineRule="exact"/>
              <w:jc w:val="center"/>
              <w:rPr>
                <w:rFonts w:hint="eastAsia" w:ascii="仿宋" w:hAnsi="仿宋" w:eastAsia="仿宋" w:cs="仿宋"/>
                <w:bCs/>
                <w:kern w:val="0"/>
                <w:sz w:val="21"/>
                <w:szCs w:val="21"/>
                <w:lang w:eastAsia="zh-CN"/>
              </w:rPr>
            </w:pPr>
            <w:r>
              <w:rPr>
                <w:rFonts w:hint="eastAsia" w:ascii="仿宋" w:hAnsi="仿宋" w:eastAsia="仿宋" w:cs="仿宋"/>
                <w:b/>
                <w:bCs/>
                <w:kern w:val="0"/>
                <w:sz w:val="21"/>
                <w:szCs w:val="21"/>
                <w:lang w:eastAsia="zh-CN"/>
              </w:rPr>
              <w:t>综合得分</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专业类教学质量国家标准达标情况</w:t>
            </w:r>
            <w:r>
              <w:rPr>
                <w:rFonts w:hint="eastAsia" w:ascii="仿宋" w:hAnsi="仿宋" w:eastAsia="仿宋" w:cs="仿宋"/>
                <w:kern w:val="0"/>
                <w:sz w:val="21"/>
                <w:szCs w:val="21"/>
                <w:lang w:eastAsia="zh-CN"/>
              </w:rPr>
              <w:t>得分</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40%</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专业建设成效</w:t>
            </w:r>
            <w:r>
              <w:rPr>
                <w:rFonts w:hint="eastAsia" w:ascii="仿宋" w:hAnsi="仿宋" w:eastAsia="仿宋" w:cs="仿宋"/>
                <w:kern w:val="0"/>
                <w:sz w:val="21"/>
                <w:szCs w:val="21"/>
                <w:lang w:eastAsia="zh-CN"/>
              </w:rPr>
              <w:t>得分</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60%</w:t>
            </w:r>
            <w:r>
              <w:rPr>
                <w:rFonts w:hint="eastAsia" w:ascii="仿宋" w:hAnsi="仿宋" w:eastAsia="仿宋" w:cs="仿宋"/>
                <w:kern w:val="0"/>
                <w:sz w:val="21"/>
                <w:szCs w:val="21"/>
                <w:lang w:eastAsia="zh-CN"/>
              </w:rPr>
              <w:t>）</w:t>
            </w:r>
          </w:p>
        </w:tc>
        <w:tc>
          <w:tcPr>
            <w:tcW w:w="1801"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bCs/>
                <w:kern w:val="0"/>
                <w:sz w:val="21"/>
                <w:szCs w:val="21"/>
              </w:rPr>
            </w:pPr>
          </w:p>
        </w:tc>
      </w:tr>
    </w:tbl>
    <w:p>
      <w:bookmarkStart w:id="0" w:name="_GoBack"/>
      <w:bookmarkEnd w:id="0"/>
    </w:p>
    <w:p>
      <w:pPr>
        <w:spacing w:after="156" w:afterLines="50" w:line="560" w:lineRule="exact"/>
        <w:jc w:val="center"/>
        <w:rPr>
          <w:rFonts w:ascii="方正小标宋简体" w:hAnsi="Calibri" w:eastAsia="方正小标宋简体" w:cs="Calibri"/>
          <w:spacing w:val="-4"/>
          <w:sz w:val="44"/>
          <w:szCs w:val="44"/>
        </w:rPr>
      </w:pPr>
      <w:r>
        <w:rPr>
          <w:rFonts w:hint="eastAsia" w:ascii="方正小标宋简体" w:hAnsi="Calibri" w:eastAsia="方正小标宋简体" w:cs="Calibri"/>
          <w:spacing w:val="-4"/>
          <w:sz w:val="44"/>
          <w:szCs w:val="44"/>
        </w:rPr>
        <w:t>河南师范大学省级</w:t>
      </w:r>
      <w:r>
        <w:rPr>
          <w:rFonts w:ascii="方正小标宋简体" w:hAnsi="Calibri" w:eastAsia="方正小标宋简体" w:cs="Calibri"/>
          <w:spacing w:val="-4"/>
          <w:sz w:val="44"/>
          <w:szCs w:val="44"/>
        </w:rPr>
        <w:t>一流本科专业</w:t>
      </w:r>
      <w:r>
        <w:rPr>
          <w:rFonts w:hint="eastAsia" w:ascii="方正小标宋简体" w:hAnsi="Calibri" w:eastAsia="方正小标宋简体" w:cs="Calibri"/>
          <w:spacing w:val="-4"/>
          <w:sz w:val="44"/>
          <w:szCs w:val="44"/>
        </w:rPr>
        <w:t>建设考核打分表</w:t>
      </w:r>
    </w:p>
    <w:tbl>
      <w:tblPr>
        <w:tblStyle w:val="2"/>
        <w:tblW w:w="14805"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126"/>
        <w:gridCol w:w="1116"/>
        <w:gridCol w:w="3111"/>
        <w:gridCol w:w="2957"/>
        <w:gridCol w:w="2415"/>
        <w:gridCol w:w="2040"/>
        <w:gridCol w:w="20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3" w:hRule="atLeast"/>
        </w:trPr>
        <w:tc>
          <w:tcPr>
            <w:tcW w:w="1126"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b/>
                <w:bCs/>
                <w:kern w:val="0"/>
                <w:sz w:val="21"/>
                <w:szCs w:val="21"/>
              </w:rPr>
              <w:t>一级</w:t>
            </w:r>
          </w:p>
          <w:p>
            <w:pPr>
              <w:widowControl/>
              <w:spacing w:line="320" w:lineRule="exact"/>
              <w:jc w:val="center"/>
              <w:rPr>
                <w:rFonts w:ascii="仿宋" w:hAnsi="仿宋" w:eastAsia="仿宋" w:cs="仿宋"/>
                <w:kern w:val="0"/>
                <w:sz w:val="21"/>
                <w:szCs w:val="21"/>
              </w:rPr>
            </w:pPr>
            <w:r>
              <w:rPr>
                <w:rFonts w:hint="eastAsia" w:ascii="仿宋" w:hAnsi="仿宋" w:eastAsia="仿宋" w:cs="仿宋"/>
                <w:b/>
                <w:bCs/>
                <w:kern w:val="0"/>
                <w:sz w:val="21"/>
                <w:szCs w:val="21"/>
              </w:rPr>
              <w:t>指标</w:t>
            </w:r>
          </w:p>
        </w:tc>
        <w:tc>
          <w:tcPr>
            <w:tcW w:w="1116"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二级</w:t>
            </w:r>
          </w:p>
          <w:p>
            <w:pPr>
              <w:widowControl/>
              <w:spacing w:line="320" w:lineRule="exact"/>
              <w:jc w:val="center"/>
              <w:rPr>
                <w:rFonts w:ascii="仿宋" w:hAnsi="仿宋" w:eastAsia="仿宋" w:cs="仿宋"/>
                <w:kern w:val="0"/>
                <w:sz w:val="21"/>
                <w:szCs w:val="21"/>
              </w:rPr>
            </w:pPr>
            <w:r>
              <w:rPr>
                <w:rFonts w:hint="eastAsia" w:ascii="仿宋" w:hAnsi="仿宋" w:eastAsia="仿宋" w:cs="仿宋"/>
                <w:b/>
                <w:bCs/>
                <w:kern w:val="0"/>
                <w:sz w:val="21"/>
                <w:szCs w:val="21"/>
              </w:rPr>
              <w:t>指标</w:t>
            </w:r>
          </w:p>
        </w:tc>
        <w:tc>
          <w:tcPr>
            <w:tcW w:w="3111"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省级</w:t>
            </w:r>
          </w:p>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建设标准</w:t>
            </w:r>
          </w:p>
        </w:tc>
        <w:tc>
          <w:tcPr>
            <w:tcW w:w="2957"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A类</w:t>
            </w:r>
          </w:p>
        </w:tc>
        <w:tc>
          <w:tcPr>
            <w:tcW w:w="2415"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B类</w:t>
            </w:r>
          </w:p>
        </w:tc>
        <w:tc>
          <w:tcPr>
            <w:tcW w:w="2040" w:type="dxa"/>
            <w:tcMar>
              <w:top w:w="0" w:type="dxa"/>
              <w:left w:w="108" w:type="dxa"/>
              <w:bottom w:w="0" w:type="dxa"/>
              <w:right w:w="108" w:type="dxa"/>
            </w:tcMar>
            <w:vAlign w:val="center"/>
          </w:tcPr>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C类</w:t>
            </w:r>
          </w:p>
        </w:tc>
        <w:tc>
          <w:tcPr>
            <w:tcW w:w="2040"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b/>
                <w:bCs/>
                <w:kern w:val="0"/>
                <w:sz w:val="21"/>
                <w:szCs w:val="21"/>
                <w:lang w:eastAsia="zh-CN"/>
              </w:rPr>
            </w:pPr>
            <w:r>
              <w:rPr>
                <w:rFonts w:hint="eastAsia" w:ascii="仿宋" w:hAnsi="仿宋" w:eastAsia="仿宋" w:cs="仿宋"/>
                <w:b/>
                <w:bCs/>
                <w:kern w:val="0"/>
                <w:sz w:val="21"/>
                <w:szCs w:val="21"/>
                <w:lang w:eastAsia="zh-CN"/>
              </w:rPr>
              <w:t>自评得分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00" w:hRule="atLeast"/>
        </w:trPr>
        <w:tc>
          <w:tcPr>
            <w:tcW w:w="1126" w:type="dxa"/>
            <w:vMerge w:val="restart"/>
            <w:vAlign w:val="center"/>
          </w:tcPr>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专业类教学质量国家标准达标情况</w:t>
            </w:r>
          </w:p>
          <w:p>
            <w:pPr>
              <w:widowControl/>
              <w:spacing w:line="320" w:lineRule="exact"/>
              <w:jc w:val="center"/>
              <w:rPr>
                <w:rFonts w:ascii="仿宋" w:hAnsi="仿宋" w:eastAsia="仿宋" w:cs="仿宋"/>
                <w:b/>
                <w:bCs/>
                <w:kern w:val="0"/>
                <w:sz w:val="21"/>
                <w:szCs w:val="21"/>
              </w:rPr>
            </w:pPr>
            <w:r>
              <w:rPr>
                <w:rFonts w:hint="eastAsia" w:ascii="仿宋" w:hAnsi="仿宋" w:eastAsia="仿宋" w:cs="仿宋"/>
                <w:b/>
                <w:bCs/>
                <w:kern w:val="0"/>
                <w:sz w:val="21"/>
                <w:szCs w:val="21"/>
              </w:rPr>
              <w:t>（100分）</w:t>
            </w:r>
          </w:p>
        </w:tc>
        <w:tc>
          <w:tcPr>
            <w:tcW w:w="1116"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培养目标(15)</w:t>
            </w: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专业培养目标 契合教学质量国家标准指导意见。</w:t>
            </w:r>
          </w:p>
        </w:tc>
        <w:tc>
          <w:tcPr>
            <w:tcW w:w="2957" w:type="dxa"/>
            <w:tcMar>
              <w:top w:w="0" w:type="dxa"/>
              <w:left w:w="108" w:type="dxa"/>
              <w:bottom w:w="0" w:type="dxa"/>
              <w:right w:w="108" w:type="dxa"/>
            </w:tcMar>
            <w:vAlign w:val="center"/>
          </w:tcPr>
          <w:p>
            <w:pPr>
              <w:widowControl/>
              <w:spacing w:line="320" w:lineRule="exact"/>
              <w:ind w:firstLine="420" w:firstLineChars="200"/>
              <w:rPr>
                <w:rFonts w:ascii="仿宋" w:hAnsi="仿宋" w:eastAsia="仿宋" w:cs="仿宋"/>
                <w:sz w:val="21"/>
                <w:szCs w:val="21"/>
              </w:rPr>
            </w:pPr>
            <w:r>
              <w:rPr>
                <w:rFonts w:hint="eastAsia" w:ascii="仿宋" w:hAnsi="仿宋" w:eastAsia="仿宋" w:cs="仿宋"/>
                <w:sz w:val="21"/>
                <w:szCs w:val="21"/>
              </w:rPr>
              <w:t>专业培养目标能够贯彻党的教育方针，落实国家相关政策要求，符合学校发展定位；专业培养目标内容明确清晰，能够反映学生毕业5年左右在社会和专业领域的发展预期，能够被学生、教师、教学管理人员及其他利益相关方理解和认同；定期进行合理性评价，并根据评价结果进行修改。（10-15分）</w:t>
            </w: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培养目标能够贯彻党的教育方针，落实国家相关政策要求，符合学校发展定位；专业培养目标内容明确清晰，能够反映学生毕业5年左右在社会和专业领域的发展预期，能够被学生、教师、教学管理人员及其他利益相关方理解和认同；未定期进行合理性评价。（7-10分）</w:t>
            </w: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专业培养目标能够贯彻党的教育方针，落实国家相关政策要求，符合学校发展定位；专业培养目标内容不明确，未定期进行合理性评价。（0-7分）</w:t>
            </w:r>
          </w:p>
        </w:tc>
        <w:tc>
          <w:tcPr>
            <w:tcW w:w="2040"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b/>
                <w:bCs/>
                <w:kern w:val="0"/>
                <w:sz w:val="21"/>
                <w:szCs w:val="21"/>
              </w:rPr>
            </w:pPr>
          </w:p>
        </w:tc>
        <w:tc>
          <w:tcPr>
            <w:tcW w:w="1116"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课程体系</w:t>
            </w:r>
          </w:p>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(20)</w:t>
            </w: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专业课程体系总体框架、各类型课程设置、核心课程开出率、实践教学过程符合教学质量国家标准，注重课程思政建设。</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课程体系能够支撑专业毕业要求，各类型课程设置比例合理，核心课程开出率达到90%以上；专业实习（教育实践）到达全覆盖，实习过程化管理支撑材料完备；注重课程思政建设，课程大纲（教案）有明确的课程思政内容。（15-20分）</w:t>
            </w: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课程体系能够支撑专业毕业要求，各类型课程设置比例合理，核心课程开出率达到75%以上；专业实习（教育实践）基本覆盖，有实习过程化管理支撑材料；进行了课程思政建设，部分课程大纲（教案）含有课程思政内容。（10-15分）</w:t>
            </w: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课程体系基本支撑专业毕业要求，各类型课程设置比例基本合理，核心课程开出率达到60%以上；专业实习（教育实践）覆盖率不足70%，实习过程化管理材料不完备；不重视课程思政建设（0-10分）</w:t>
            </w:r>
          </w:p>
        </w:tc>
        <w:tc>
          <w:tcPr>
            <w:tcW w:w="2040"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b/>
                <w:bCs/>
                <w:kern w:val="0"/>
                <w:sz w:val="21"/>
                <w:szCs w:val="21"/>
              </w:rPr>
            </w:pPr>
          </w:p>
        </w:tc>
        <w:tc>
          <w:tcPr>
            <w:tcW w:w="1116"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教学规范(15)</w:t>
            </w: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本专业教师教学过程及教学行为规范，教学管理文件及教学档案齐备，符合教学质量国家标准。</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有相对稳定的教学计划，执行变动过程有规范的论证和审批手续，具有完备的教学日历、课程大纲和教案，教学管理文件及教学档案完备，且有专人负责。（10-15分）</w:t>
            </w: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有相对稳定的教学计划，执行变动有审批手续，有完备的教学日历、课程大纲和教案，教学管理文件及教学档案基本完备。（7-10分）</w:t>
            </w: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教学计划变动随意，缺少变动审批手续，各类教学管理文件及教学档案不规范。（0-7分）</w:t>
            </w:r>
          </w:p>
        </w:tc>
        <w:tc>
          <w:tcPr>
            <w:tcW w:w="2040"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b/>
                <w:bCs/>
                <w:kern w:val="0"/>
                <w:sz w:val="21"/>
                <w:szCs w:val="21"/>
              </w:rPr>
            </w:pPr>
          </w:p>
        </w:tc>
        <w:tc>
          <w:tcPr>
            <w:tcW w:w="1116"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师资队伍(15)</w:t>
            </w: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专业师资规模、结构及教师水平符合教学质量国家标准，专业生师比符合相关认证标准。</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专业有10名及以上专任教师，专任教师中硕博学位的比例达到90%，高级职称比例达到50%，教授给本科生上课比例达到100%，生师比低于18:1。（10-15分）</w:t>
            </w: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专业有7名及以上专任教师，专任教师中硕博学位的比例达到75%，高级职称比例达到30%，教授给本科生上课比例达到80%，生师比不高于18:1。（7-10分）</w:t>
            </w: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专业有5名及以上专任教师，专任教师中硕博学位的比例达到65%，高级职称比例低于30%，教授给本科生上课比例不足80%，生师比高于18:1。（0-7分）</w:t>
            </w:r>
          </w:p>
        </w:tc>
        <w:tc>
          <w:tcPr>
            <w:tcW w:w="2040"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b/>
                <w:bCs/>
                <w:kern w:val="0"/>
                <w:sz w:val="21"/>
                <w:szCs w:val="21"/>
              </w:rPr>
            </w:pPr>
          </w:p>
        </w:tc>
        <w:tc>
          <w:tcPr>
            <w:tcW w:w="1116"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教学条件(20)</w:t>
            </w: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专业教学设施建设、信息资源购置、实践基地数量、教学经费投入符合教学质量国家标准。</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配备足够的教学实验实训资源，实践基地与实习生比例达高于1:20，生均教学经费超过学校平均水平的15%。（15-20分）</w:t>
            </w: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实验实训资源能基本满足本专业教学需要，实践基地与实习生比例达到1:20，生均教学经费超过学校平均水平的8%。（10-15分）</w:t>
            </w: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实验实训资源能不能满足本专业教学需要，实践基地与实习生比例不足1:20，生均教学经费低于学校平均水平的8%。（0-10分）</w:t>
            </w:r>
          </w:p>
        </w:tc>
        <w:tc>
          <w:tcPr>
            <w:tcW w:w="2040"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b/>
                <w:bCs/>
                <w:kern w:val="0"/>
                <w:sz w:val="21"/>
                <w:szCs w:val="21"/>
              </w:rPr>
            </w:pPr>
          </w:p>
        </w:tc>
        <w:tc>
          <w:tcPr>
            <w:tcW w:w="1116"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质量保障(15)</w:t>
            </w: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专业设有质量保障体系，教学过程质量监控机制、毕业生跟踪反馈机制、持续改进机制符合教学质量国家标准。</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设有质量保障体系，反馈渠道顺畅，建立毕业生跟踪反馈机制，具有完备的毕业生跟踪反馈材料，能够根据问题持续改进，并有完备的持续改进档案。（10-15分）</w:t>
            </w: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设有质量保障体系，反馈渠道顺畅，建立毕业生跟踪反馈机制，有毕业生跟踪反馈材料，有持续改进机制。（7-10分）</w:t>
            </w: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设有质量保障体系，反馈渠道不畅，不了解大多数毕业生就业去向和用人单位满意度，无持续改进材料。（0-7分）</w:t>
            </w:r>
          </w:p>
        </w:tc>
        <w:tc>
          <w:tcPr>
            <w:tcW w:w="2040"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restart"/>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b/>
                <w:bCs/>
                <w:kern w:val="0"/>
                <w:sz w:val="21"/>
                <w:szCs w:val="21"/>
              </w:rPr>
              <w:t>专业建设成效（100分）</w:t>
            </w:r>
          </w:p>
        </w:tc>
        <w:tc>
          <w:tcPr>
            <w:tcW w:w="1116"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人才培养成效（30）</w:t>
            </w: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较立项当年专业招生考试第一志愿上线率、新生报到率有提高。</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较立项当年专业招生考试第一志愿上线率、新生报到率有提高。（3-5分）</w:t>
            </w: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较立项当年专业招生考试第一志愿上线率、新生报到率提高不明显。（1-3分）</w:t>
            </w: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较立项当年专业招生考试第一志愿上线率、新生报到率无提高。（0分）</w:t>
            </w:r>
          </w:p>
        </w:tc>
        <w:tc>
          <w:tcPr>
            <w:tcW w:w="2040"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kern w:val="0"/>
                <w:sz w:val="21"/>
                <w:szCs w:val="21"/>
              </w:rPr>
            </w:pPr>
          </w:p>
        </w:tc>
        <w:tc>
          <w:tcPr>
            <w:tcW w:w="1116"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sz w:val="21"/>
                <w:szCs w:val="21"/>
              </w:rPr>
              <w:t>专业实习管理规范，实习教学效果良好；重视学生实践能力培养，学生在省部级比赛中表现良好，获得一等奖及以上奖励。</w:t>
            </w:r>
          </w:p>
        </w:tc>
        <w:tc>
          <w:tcPr>
            <w:tcW w:w="2957"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有详细的专业实习（教育实践）细则，配备有足够的指导教师，省级一流本科专业学生在省部级比赛中表现良好，获得一等奖及以上奖励。（7-10分）</w:t>
            </w:r>
          </w:p>
        </w:tc>
        <w:tc>
          <w:tcPr>
            <w:tcW w:w="2415"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有专业实习（教育实践）细则，配备有一定数量的指导教师，省级一流本科专业学生在省部级比赛中获得奖励。（4-7分）</w:t>
            </w:r>
          </w:p>
        </w:tc>
        <w:tc>
          <w:tcPr>
            <w:tcW w:w="2040"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有专业实习（教育实践）细则，配备有一定数量的指导教师，在国家级或省级比赛中无学生获奖。（0-4分）</w:t>
            </w:r>
          </w:p>
        </w:tc>
        <w:tc>
          <w:tcPr>
            <w:tcW w:w="2040"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kern w:val="0"/>
                <w:sz w:val="21"/>
                <w:szCs w:val="21"/>
              </w:rPr>
            </w:pPr>
          </w:p>
        </w:tc>
        <w:tc>
          <w:tcPr>
            <w:tcW w:w="1116"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专业严格执行毕业论文（设计）标准和规定，具有一定比例的高阶性、创新性、挑战度的优良毕业论文（设计），有省级优秀毕业论文1篇及以上。</w:t>
            </w:r>
          </w:p>
        </w:tc>
        <w:tc>
          <w:tcPr>
            <w:tcW w:w="2957"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对毕业论文（设计）选题、内容、学生指导、答辩等有明确要求，有完备的毕业论文（设计）过程化管理材料，有省级优秀毕业论文1篇及以上。（7-10分）</w:t>
            </w:r>
          </w:p>
        </w:tc>
        <w:tc>
          <w:tcPr>
            <w:tcW w:w="2415"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对毕业论文（设计）选题、内容、学生指导、答辩等有明确要求，有毕业论文（设计）过程化管理材料，推荐省级优秀毕业论文1篇及以上。（4-7分）</w:t>
            </w:r>
          </w:p>
        </w:tc>
        <w:tc>
          <w:tcPr>
            <w:tcW w:w="2040"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对毕业论文（设计）选题、内容、学生指导、答辩等有要求，毕业论文（设计）过程化管理材料不齐全，没有推荐省级优秀毕业论文。（0-4分）</w:t>
            </w:r>
          </w:p>
        </w:tc>
        <w:tc>
          <w:tcPr>
            <w:tcW w:w="2040"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kern w:val="0"/>
                <w:sz w:val="21"/>
                <w:szCs w:val="21"/>
              </w:rPr>
            </w:pPr>
          </w:p>
        </w:tc>
        <w:tc>
          <w:tcPr>
            <w:tcW w:w="1116"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kern w:val="0"/>
                <w:sz w:val="21"/>
                <w:szCs w:val="21"/>
              </w:rPr>
              <w:t>专业就业率有一定提高；建立就业跟踪机制，能够定期对社会需求和毕业生质量进行跟踪调查，用人单位满意度较高。</w:t>
            </w:r>
          </w:p>
        </w:tc>
        <w:tc>
          <w:tcPr>
            <w:tcW w:w="2957"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 xml:space="preserve">   省级一流本科专业就业率较立项当年有提高，有完备的毕业生跟踪机制，用人单位满意度超过80%。（3-5分）</w:t>
            </w: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专业就业率较立项当年提高不明显，有毕业生跟踪机制，用人单位满意度超过65%。（1-3分）</w:t>
            </w: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专业就业率较立项当年无提高，毕业生跟踪机制不完善，用人单位满意度不足65%。（0分）</w:t>
            </w:r>
          </w:p>
        </w:tc>
        <w:tc>
          <w:tcPr>
            <w:tcW w:w="2040"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kern w:val="0"/>
                <w:sz w:val="21"/>
                <w:szCs w:val="21"/>
              </w:rPr>
            </w:pPr>
          </w:p>
        </w:tc>
        <w:tc>
          <w:tcPr>
            <w:tcW w:w="1116"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教学工程建设成效（30）</w:t>
            </w: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专业具备支撑一流专业人才培养的课程体系，建设一批高水平课程，获批1门以上（含1门）国家级金课或</w:t>
            </w:r>
            <w:r>
              <w:rPr>
                <w:rFonts w:ascii="仿宋" w:hAnsi="仿宋" w:eastAsia="仿宋" w:cs="仿宋"/>
                <w:kern w:val="0"/>
                <w:sz w:val="21"/>
                <w:szCs w:val="21"/>
              </w:rPr>
              <w:t>2</w:t>
            </w:r>
            <w:r>
              <w:rPr>
                <w:rFonts w:hint="eastAsia" w:ascii="仿宋" w:hAnsi="仿宋" w:eastAsia="仿宋" w:cs="仿宋"/>
                <w:kern w:val="0"/>
                <w:sz w:val="21"/>
                <w:szCs w:val="21"/>
              </w:rPr>
              <w:t>门省级金课；全面推进课程思政建设，获批1项（含1项）以上省级课程思政示范课、课程思政团队、课程思政研究中心等。</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建设一批高水平课程，专业获批有国家级金课或1门及以上省级金课，全面推进课程思政建设，专业获批有国家级课程思政奖励或1项及以上省级课程思政类奖励。（7-10分）</w:t>
            </w: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建设有高水平课程，专业获批有省级金课，积极推进课程思政建设，专业获批有省级课程思政类奖励。（4-7分）</w:t>
            </w: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积极申报打造高水平课程，积极推进课程思政建设。（0-4分）</w:t>
            </w:r>
          </w:p>
        </w:tc>
        <w:tc>
          <w:tcPr>
            <w:tcW w:w="2040"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kern w:val="0"/>
                <w:sz w:val="21"/>
                <w:szCs w:val="21"/>
              </w:rPr>
            </w:pPr>
          </w:p>
        </w:tc>
        <w:tc>
          <w:tcPr>
            <w:tcW w:w="1116"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专业具有完善的教材审批制度，教师编写教材积极性高，本专业教师主编或参编有较高水平的教材，获批省级教材奖二等奖1项，或获批1部以上（含1部）省级规划教材。</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具有完备的教材审核制度，省级一流本科专业建设点获批省级教材奖二等奖1项，或获批1部以上（含1部）省级规划教材。（7-10分）</w:t>
            </w:r>
          </w:p>
        </w:tc>
        <w:tc>
          <w:tcPr>
            <w:tcW w:w="2415" w:type="dxa"/>
            <w:tcMar>
              <w:top w:w="0" w:type="dxa"/>
              <w:left w:w="108" w:type="dxa"/>
              <w:bottom w:w="0" w:type="dxa"/>
              <w:right w:w="108" w:type="dxa"/>
            </w:tcMar>
            <w:vAlign w:val="center"/>
          </w:tcPr>
          <w:p>
            <w:pPr>
              <w:widowControl/>
              <w:spacing w:line="320" w:lineRule="exact"/>
              <w:ind w:firstLine="420" w:firstLineChars="200"/>
              <w:rPr>
                <w:rFonts w:ascii="仿宋" w:hAnsi="仿宋" w:eastAsia="仿宋" w:cs="仿宋"/>
                <w:kern w:val="0"/>
                <w:sz w:val="21"/>
                <w:szCs w:val="21"/>
              </w:rPr>
            </w:pPr>
            <w:r>
              <w:rPr>
                <w:rFonts w:hint="eastAsia" w:ascii="仿宋" w:hAnsi="仿宋" w:eastAsia="仿宋" w:cs="仿宋"/>
                <w:kern w:val="0"/>
                <w:sz w:val="21"/>
                <w:szCs w:val="21"/>
              </w:rPr>
              <w:t>具有较完备的教材审核制度，省级一流本科专业建设点教师主编出版教材。（4-7分）</w:t>
            </w:r>
          </w:p>
        </w:tc>
        <w:tc>
          <w:tcPr>
            <w:tcW w:w="2040"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 xml:space="preserve">  具有教材审核制度，专业获批后没有教师主编出版教材。（0-4分）</w:t>
            </w:r>
          </w:p>
        </w:tc>
        <w:tc>
          <w:tcPr>
            <w:tcW w:w="2040"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kern w:val="0"/>
                <w:sz w:val="21"/>
                <w:szCs w:val="21"/>
              </w:rPr>
            </w:pPr>
          </w:p>
        </w:tc>
        <w:tc>
          <w:tcPr>
            <w:tcW w:w="1116"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sz w:val="21"/>
                <w:szCs w:val="21"/>
              </w:rPr>
              <w:t>专业基层教学组织制度健全，具有合理的教学团队和常态化青年教师成长发展机制。建有1个省级合格基层教学组织。</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专业基层教学组织制度健全，具有合理的教学团队和常态化青年教师成长发展机制。省</w:t>
            </w:r>
            <w:r>
              <w:rPr>
                <w:rFonts w:hint="eastAsia" w:ascii="仿宋" w:hAnsi="仿宋" w:eastAsia="仿宋" w:cs="仿宋"/>
                <w:kern w:val="0"/>
                <w:sz w:val="21"/>
                <w:szCs w:val="21"/>
              </w:rPr>
              <w:t>级一流本科专业建设点</w:t>
            </w:r>
            <w:r>
              <w:rPr>
                <w:rFonts w:hint="eastAsia" w:ascii="仿宋" w:hAnsi="仿宋" w:eastAsia="仿宋" w:cs="仿宋"/>
                <w:sz w:val="21"/>
                <w:szCs w:val="21"/>
              </w:rPr>
              <w:t>建有1个省级合格基层教学组织。（3-5分）</w:t>
            </w:r>
          </w:p>
        </w:tc>
        <w:tc>
          <w:tcPr>
            <w:tcW w:w="2415"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    专业基层教学组织制度较健全，有常态化青年教师成长发展机制。省</w:t>
            </w:r>
            <w:r>
              <w:rPr>
                <w:rFonts w:hint="eastAsia" w:ascii="仿宋" w:hAnsi="仿宋" w:eastAsia="仿宋" w:cs="仿宋"/>
                <w:kern w:val="0"/>
                <w:sz w:val="21"/>
                <w:szCs w:val="21"/>
              </w:rPr>
              <w:t>级一流本科专业建设点</w:t>
            </w:r>
            <w:r>
              <w:rPr>
                <w:rFonts w:hint="eastAsia" w:ascii="仿宋" w:hAnsi="仿宋" w:eastAsia="仿宋" w:cs="仿宋"/>
                <w:sz w:val="21"/>
                <w:szCs w:val="21"/>
              </w:rPr>
              <w:t>建有1个省级备案基层教学组织。（1-3分）</w:t>
            </w:r>
          </w:p>
        </w:tc>
        <w:tc>
          <w:tcPr>
            <w:tcW w:w="2040"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 xml:space="preserve">专业基层教学组织管理不规范，无建设成果。（0分） </w:t>
            </w:r>
          </w:p>
        </w:tc>
        <w:tc>
          <w:tcPr>
            <w:tcW w:w="2040"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kern w:val="0"/>
                <w:sz w:val="21"/>
                <w:szCs w:val="21"/>
              </w:rPr>
            </w:pPr>
          </w:p>
        </w:tc>
        <w:tc>
          <w:tcPr>
            <w:tcW w:w="1116"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sz w:val="21"/>
                <w:szCs w:val="21"/>
              </w:rPr>
              <w:t>重视教师培训，注重团队建设，获批1名校级教学名师。</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有科学可行的教师培训方案，获批有教学名师。（3-5分）</w:t>
            </w:r>
          </w:p>
        </w:tc>
        <w:tc>
          <w:tcPr>
            <w:tcW w:w="2415"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有科学可行的教师培训方案。（1-3分）</w:t>
            </w:r>
          </w:p>
        </w:tc>
        <w:tc>
          <w:tcPr>
            <w:tcW w:w="2040" w:type="dxa"/>
            <w:tcMar>
              <w:top w:w="0" w:type="dxa"/>
              <w:left w:w="108" w:type="dxa"/>
              <w:bottom w:w="0" w:type="dxa"/>
              <w:right w:w="108" w:type="dxa"/>
            </w:tcMar>
            <w:vAlign w:val="center"/>
          </w:tcPr>
          <w:p>
            <w:pPr>
              <w:widowControl/>
              <w:spacing w:line="320" w:lineRule="exact"/>
              <w:jc w:val="center"/>
              <w:rPr>
                <w:rFonts w:ascii="仿宋" w:hAnsi="仿宋" w:eastAsia="仿宋" w:cs="仿宋"/>
                <w:sz w:val="21"/>
                <w:szCs w:val="21"/>
              </w:rPr>
            </w:pPr>
            <w:r>
              <w:rPr>
                <w:rFonts w:hint="eastAsia" w:ascii="仿宋" w:hAnsi="仿宋" w:eastAsia="仿宋" w:cs="仿宋"/>
                <w:sz w:val="21"/>
                <w:szCs w:val="21"/>
              </w:rPr>
              <w:t>不重视教师培训、团队建设，教学名师。（0分）</w:t>
            </w:r>
          </w:p>
        </w:tc>
        <w:tc>
          <w:tcPr>
            <w:tcW w:w="2040"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1116"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教学改革成效（20）</w:t>
            </w: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积极推动专业教学改革，鼓励教学研究，考核期内获批</w:t>
            </w:r>
            <w:r>
              <w:rPr>
                <w:rFonts w:ascii="仿宋" w:hAnsi="仿宋" w:eastAsia="仿宋" w:cs="仿宋"/>
                <w:kern w:val="0"/>
                <w:sz w:val="21"/>
                <w:szCs w:val="21"/>
              </w:rPr>
              <w:t>1</w:t>
            </w:r>
            <w:r>
              <w:rPr>
                <w:rFonts w:hint="eastAsia" w:ascii="仿宋" w:hAnsi="仿宋" w:eastAsia="仿宋" w:cs="仿宋"/>
                <w:kern w:val="0"/>
                <w:sz w:val="21"/>
                <w:szCs w:val="21"/>
              </w:rPr>
              <w:t>项省级及以上教学改革项目（含教师教育项目），或在核心期刊发表教改论文1篇及以上。</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积极推动专业教学改革，鼓励教学研究，省级一流本科专业建设点获批1项省级及以上教学改革项目（含教师教育项目）或在核心期刊发表教改论文1篇及以上。（7-10分）</w:t>
            </w:r>
          </w:p>
          <w:p>
            <w:pPr>
              <w:widowControl/>
              <w:spacing w:line="320" w:lineRule="exact"/>
              <w:ind w:firstLine="420"/>
              <w:jc w:val="left"/>
              <w:rPr>
                <w:rFonts w:ascii="仿宋" w:hAnsi="仿宋" w:eastAsia="仿宋" w:cs="仿宋"/>
                <w:kern w:val="0"/>
                <w:sz w:val="21"/>
                <w:szCs w:val="21"/>
              </w:rPr>
            </w:pP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鼓励教学研究，省级一流本科专业建设点教师发表教改论文1篇及以上。（4-7分）</w:t>
            </w:r>
          </w:p>
          <w:p>
            <w:pPr>
              <w:widowControl/>
              <w:spacing w:line="320" w:lineRule="exact"/>
              <w:ind w:firstLine="420"/>
              <w:jc w:val="left"/>
              <w:rPr>
                <w:rFonts w:ascii="仿宋" w:hAnsi="仿宋" w:eastAsia="仿宋" w:cs="仿宋"/>
                <w:kern w:val="0"/>
                <w:sz w:val="21"/>
                <w:szCs w:val="21"/>
              </w:rPr>
            </w:pP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sz w:val="21"/>
                <w:szCs w:val="21"/>
              </w:rPr>
              <w:t>鼓励教学研究，但没有相应成果。（1-3分）</w:t>
            </w:r>
          </w:p>
        </w:tc>
        <w:tc>
          <w:tcPr>
            <w:tcW w:w="2040"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kern w:val="0"/>
                <w:sz w:val="21"/>
                <w:szCs w:val="21"/>
              </w:rPr>
            </w:pPr>
          </w:p>
        </w:tc>
        <w:tc>
          <w:tcPr>
            <w:tcW w:w="1116"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积极推广培育教学成果，获</w:t>
            </w:r>
            <w:r>
              <w:rPr>
                <w:rFonts w:ascii="仿宋" w:hAnsi="仿宋" w:eastAsia="仿宋" w:cs="仿宋"/>
                <w:kern w:val="0"/>
                <w:sz w:val="21"/>
                <w:szCs w:val="21"/>
              </w:rPr>
              <w:t xml:space="preserve"> 1</w:t>
            </w:r>
            <w:r>
              <w:rPr>
                <w:rFonts w:hint="eastAsia" w:ascii="仿宋" w:hAnsi="仿宋" w:eastAsia="仿宋" w:cs="仿宋"/>
                <w:kern w:val="0"/>
                <w:sz w:val="21"/>
                <w:szCs w:val="21"/>
              </w:rPr>
              <w:t>项省级教学成果奖。</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积极推广培育教学成果，省级一流本科专业建设点获 1项省级教学成果奖。（7-10分）</w:t>
            </w:r>
          </w:p>
          <w:p>
            <w:pPr>
              <w:widowControl/>
              <w:spacing w:line="320" w:lineRule="exact"/>
              <w:jc w:val="center"/>
              <w:rPr>
                <w:rFonts w:ascii="仿宋" w:hAnsi="仿宋" w:eastAsia="仿宋" w:cs="仿宋"/>
                <w:kern w:val="0"/>
                <w:sz w:val="21"/>
                <w:szCs w:val="21"/>
              </w:rPr>
            </w:pP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积极推广培育教学成果，省级一流本科专业建设点获 1项及以上校级教学成果奖。（4-7分）</w:t>
            </w:r>
          </w:p>
          <w:p>
            <w:pPr>
              <w:widowControl/>
              <w:spacing w:line="320" w:lineRule="exact"/>
              <w:jc w:val="center"/>
              <w:rPr>
                <w:rFonts w:ascii="仿宋" w:hAnsi="仿宋" w:eastAsia="仿宋" w:cs="仿宋"/>
                <w:kern w:val="0"/>
                <w:sz w:val="21"/>
                <w:szCs w:val="21"/>
              </w:rPr>
            </w:pP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积极推广培育教学成果，但没有相应成果。（1-3分）</w:t>
            </w:r>
          </w:p>
          <w:p>
            <w:pPr>
              <w:widowControl/>
              <w:spacing w:line="320" w:lineRule="exact"/>
              <w:jc w:val="center"/>
              <w:rPr>
                <w:rFonts w:ascii="仿宋" w:hAnsi="仿宋" w:eastAsia="仿宋" w:cs="仿宋"/>
                <w:kern w:val="0"/>
                <w:sz w:val="21"/>
                <w:szCs w:val="21"/>
              </w:rPr>
            </w:pPr>
          </w:p>
        </w:tc>
        <w:tc>
          <w:tcPr>
            <w:tcW w:w="2040"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kern w:val="0"/>
                <w:sz w:val="21"/>
                <w:szCs w:val="21"/>
              </w:rPr>
            </w:pPr>
          </w:p>
        </w:tc>
        <w:tc>
          <w:tcPr>
            <w:tcW w:w="1116" w:type="dxa"/>
            <w:vMerge w:val="restart"/>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kern w:val="0"/>
                <w:sz w:val="21"/>
                <w:szCs w:val="21"/>
              </w:rPr>
              <w:t>专业认证与特色（20）</w:t>
            </w: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kern w:val="0"/>
                <w:sz w:val="21"/>
                <w:szCs w:val="21"/>
              </w:rPr>
              <w:t>积极筹备专业认证工作，向相关认证机构提交认证申请。</w:t>
            </w:r>
          </w:p>
        </w:tc>
        <w:tc>
          <w:tcPr>
            <w:tcW w:w="2957"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积极筹备专业认证工作，省级一流本科专业建设点向相关认证机构提交认证申请。（7-10分）</w:t>
            </w:r>
          </w:p>
          <w:p>
            <w:pPr>
              <w:widowControl/>
              <w:spacing w:line="320" w:lineRule="exact"/>
              <w:ind w:firstLine="420"/>
              <w:jc w:val="left"/>
              <w:rPr>
                <w:rFonts w:ascii="仿宋" w:hAnsi="仿宋" w:eastAsia="仿宋" w:cs="仿宋"/>
                <w:kern w:val="0"/>
                <w:sz w:val="21"/>
                <w:szCs w:val="21"/>
              </w:rPr>
            </w:pPr>
          </w:p>
        </w:tc>
        <w:tc>
          <w:tcPr>
            <w:tcW w:w="2415"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sz w:val="21"/>
                <w:szCs w:val="21"/>
              </w:rPr>
              <w:t>积极筹备专业认证工作，学习认证理念，向学校提交认证申请书。（4-7分）</w:t>
            </w:r>
          </w:p>
          <w:p>
            <w:pPr>
              <w:widowControl/>
              <w:spacing w:line="320" w:lineRule="exact"/>
              <w:ind w:firstLine="420"/>
              <w:jc w:val="left"/>
              <w:rPr>
                <w:rFonts w:ascii="仿宋" w:hAnsi="仿宋" w:eastAsia="仿宋" w:cs="仿宋"/>
                <w:kern w:val="0"/>
                <w:sz w:val="21"/>
                <w:szCs w:val="21"/>
              </w:rPr>
            </w:pPr>
          </w:p>
        </w:tc>
        <w:tc>
          <w:tcPr>
            <w:tcW w:w="2040"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kern w:val="0"/>
                <w:sz w:val="21"/>
                <w:szCs w:val="21"/>
              </w:rPr>
            </w:pPr>
            <w:r>
              <w:rPr>
                <w:rFonts w:hint="eastAsia" w:ascii="仿宋" w:hAnsi="仿宋" w:eastAsia="仿宋" w:cs="仿宋"/>
                <w:sz w:val="21"/>
                <w:szCs w:val="21"/>
              </w:rPr>
              <w:t>开展认证培训，学习认证理念，未开始准备认证申请材料。（1-4分）</w:t>
            </w:r>
          </w:p>
        </w:tc>
        <w:tc>
          <w:tcPr>
            <w:tcW w:w="2040" w:type="dxa"/>
            <w:tcMar>
              <w:top w:w="0" w:type="dxa"/>
              <w:left w:w="108" w:type="dxa"/>
              <w:bottom w:w="0" w:type="dxa"/>
              <w:right w:w="108" w:type="dxa"/>
            </w:tcMar>
            <w:vAlign w:val="center"/>
          </w:tcPr>
          <w:p>
            <w:pPr>
              <w:widowControl/>
              <w:spacing w:line="320" w:lineRule="exact"/>
              <w:ind w:firstLine="420"/>
              <w:jc w:val="left"/>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b/>
                <w:bCs/>
                <w:kern w:val="0"/>
                <w:sz w:val="21"/>
                <w:szCs w:val="21"/>
              </w:rPr>
            </w:pPr>
          </w:p>
        </w:tc>
        <w:tc>
          <w:tcPr>
            <w:tcW w:w="1116" w:type="dxa"/>
            <w:vMerge w:val="continue"/>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p>
        </w:tc>
        <w:tc>
          <w:tcPr>
            <w:tcW w:w="3111" w:type="dxa"/>
            <w:tcMar>
              <w:top w:w="0" w:type="dxa"/>
              <w:left w:w="108" w:type="dxa"/>
              <w:bottom w:w="0" w:type="dxa"/>
              <w:right w:w="108" w:type="dxa"/>
            </w:tcMar>
            <w:vAlign w:val="center"/>
          </w:tcPr>
          <w:p>
            <w:pPr>
              <w:widowControl/>
              <w:spacing w:line="320" w:lineRule="exact"/>
              <w:ind w:firstLine="420"/>
              <w:jc w:val="left"/>
              <w:rPr>
                <w:rFonts w:ascii="仿宋" w:hAnsi="仿宋" w:eastAsia="仿宋" w:cs="仿宋"/>
                <w:sz w:val="21"/>
                <w:szCs w:val="21"/>
              </w:rPr>
            </w:pPr>
            <w:r>
              <w:rPr>
                <w:rFonts w:hint="eastAsia" w:ascii="仿宋" w:hAnsi="仿宋" w:eastAsia="仿宋" w:cs="仿宋"/>
                <w:kern w:val="0"/>
                <w:sz w:val="21"/>
                <w:szCs w:val="21"/>
              </w:rPr>
              <w:t>专业定位明确，与国内、省内其他学校同类专业相比具有一定优势与特色。</w:t>
            </w:r>
          </w:p>
        </w:tc>
        <w:tc>
          <w:tcPr>
            <w:tcW w:w="2957"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sz w:val="21"/>
                <w:szCs w:val="21"/>
              </w:rPr>
              <w:t xml:space="preserve">    专业定位准确，特色显著，与国内、省内其他学校同类专业相比具有一定优势与特色。（7-10分）</w:t>
            </w:r>
          </w:p>
        </w:tc>
        <w:tc>
          <w:tcPr>
            <w:tcW w:w="2415"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sz w:val="21"/>
                <w:szCs w:val="21"/>
              </w:rPr>
              <w:t xml:space="preserve">   专业定位清晰，与国内、省内其他学校同类专业相比具有一定特色。（4-7分）</w:t>
            </w:r>
          </w:p>
        </w:tc>
        <w:tc>
          <w:tcPr>
            <w:tcW w:w="2040"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hint="eastAsia" w:ascii="仿宋" w:hAnsi="仿宋" w:eastAsia="仿宋" w:cs="仿宋"/>
                <w:sz w:val="21"/>
                <w:szCs w:val="21"/>
              </w:rPr>
              <w:t>专业定位清晰，特色与优势不足。（1-4分）</w:t>
            </w:r>
          </w:p>
        </w:tc>
        <w:tc>
          <w:tcPr>
            <w:tcW w:w="2040"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1126" w:type="dxa"/>
            <w:vMerge w:val="continue"/>
            <w:vAlign w:val="center"/>
          </w:tcPr>
          <w:p>
            <w:pPr>
              <w:widowControl/>
              <w:spacing w:line="320" w:lineRule="exact"/>
              <w:jc w:val="center"/>
              <w:rPr>
                <w:rFonts w:ascii="仿宋" w:hAnsi="仿宋" w:eastAsia="仿宋" w:cs="仿宋"/>
                <w:b/>
                <w:bCs/>
                <w:kern w:val="0"/>
                <w:sz w:val="21"/>
                <w:szCs w:val="21"/>
              </w:rPr>
            </w:pPr>
          </w:p>
        </w:tc>
        <w:tc>
          <w:tcPr>
            <w:tcW w:w="1116" w:type="dxa"/>
            <w:tcMar>
              <w:top w:w="0" w:type="dxa"/>
              <w:left w:w="108" w:type="dxa"/>
              <w:bottom w:w="0" w:type="dxa"/>
              <w:right w:w="108" w:type="dxa"/>
            </w:tcMar>
            <w:vAlign w:val="center"/>
          </w:tcPr>
          <w:p>
            <w:pPr>
              <w:widowControl/>
              <w:spacing w:line="320" w:lineRule="exact"/>
              <w:jc w:val="center"/>
              <w:rPr>
                <w:rFonts w:ascii="仿宋" w:hAnsi="仿宋" w:eastAsia="仿宋" w:cs="仿宋"/>
                <w:kern w:val="0"/>
                <w:sz w:val="21"/>
                <w:szCs w:val="21"/>
              </w:rPr>
            </w:pPr>
            <w:r>
              <w:rPr>
                <w:rFonts w:ascii="仿宋" w:hAnsi="仿宋" w:eastAsia="仿宋" w:cs="仿宋"/>
                <w:bCs/>
                <w:kern w:val="0"/>
                <w:sz w:val="21"/>
                <w:szCs w:val="21"/>
              </w:rPr>
              <w:t>负面清单</w:t>
            </w:r>
            <w:r>
              <w:rPr>
                <w:rFonts w:hint="eastAsia" w:ascii="仿宋" w:hAnsi="仿宋" w:eastAsia="仿宋" w:cs="仿宋"/>
                <w:bCs/>
                <w:kern w:val="0"/>
                <w:sz w:val="21"/>
                <w:szCs w:val="21"/>
              </w:rPr>
              <w:t>所列情况</w:t>
            </w:r>
          </w:p>
        </w:tc>
        <w:tc>
          <w:tcPr>
            <w:tcW w:w="3111" w:type="dxa"/>
            <w:tcMar>
              <w:top w:w="0" w:type="dxa"/>
              <w:left w:w="108" w:type="dxa"/>
              <w:bottom w:w="0" w:type="dxa"/>
              <w:right w:w="108" w:type="dxa"/>
            </w:tcMar>
            <w:vAlign w:val="center"/>
          </w:tcPr>
          <w:p>
            <w:pPr>
              <w:widowControl/>
              <w:spacing w:line="320" w:lineRule="exact"/>
              <w:jc w:val="center"/>
              <w:rPr>
                <w:rFonts w:ascii="仿宋" w:hAnsi="仿宋" w:eastAsia="仿宋" w:cs="仿宋"/>
                <w:bCs/>
                <w:kern w:val="0"/>
                <w:sz w:val="21"/>
                <w:szCs w:val="21"/>
              </w:rPr>
            </w:pPr>
            <w:r>
              <w:rPr>
                <w:rFonts w:hint="eastAsia" w:ascii="仿宋" w:hAnsi="仿宋" w:eastAsia="仿宋" w:cs="仿宋"/>
                <w:kern w:val="0"/>
                <w:sz w:val="21"/>
                <w:szCs w:val="21"/>
              </w:rPr>
              <w:t>学生体质检测不合格；本科毕业论文抽检被上级部门通报；毕业论文查重率高于50%；任课教师校级教学督导成绩低于80分；学生课堂出勤率低；学生考试作弊；考研率低于学校平均水平；监考老师不负责任并造成不良后果；专业建设专项资金使用进度。</w:t>
            </w:r>
          </w:p>
        </w:tc>
        <w:tc>
          <w:tcPr>
            <w:tcW w:w="7412" w:type="dxa"/>
            <w:gridSpan w:val="3"/>
            <w:tcMar>
              <w:top w:w="0" w:type="dxa"/>
              <w:left w:w="108" w:type="dxa"/>
              <w:bottom w:w="0" w:type="dxa"/>
              <w:right w:w="108" w:type="dxa"/>
            </w:tcMar>
            <w:vAlign w:val="center"/>
          </w:tcPr>
          <w:p>
            <w:pPr>
              <w:widowControl/>
              <w:spacing w:line="320" w:lineRule="exact"/>
              <w:jc w:val="center"/>
              <w:rPr>
                <w:rFonts w:ascii="仿宋" w:hAnsi="仿宋" w:eastAsia="仿宋" w:cs="仿宋"/>
                <w:bCs/>
                <w:kern w:val="0"/>
                <w:sz w:val="21"/>
                <w:szCs w:val="21"/>
              </w:rPr>
            </w:pPr>
            <w:r>
              <w:rPr>
                <w:rFonts w:hint="eastAsia" w:ascii="仿宋" w:hAnsi="仿宋" w:eastAsia="仿宋" w:cs="仿宋"/>
                <w:bCs/>
                <w:kern w:val="0"/>
                <w:sz w:val="21"/>
                <w:szCs w:val="21"/>
              </w:rPr>
              <w:t>负面清单所列情况有1项扣1分。</w:t>
            </w:r>
          </w:p>
        </w:tc>
        <w:tc>
          <w:tcPr>
            <w:tcW w:w="2040"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bCs/>
                <w:kern w:val="0"/>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70" w:hRule="atLeast"/>
        </w:trPr>
        <w:tc>
          <w:tcPr>
            <w:tcW w:w="12765" w:type="dxa"/>
            <w:gridSpan w:val="6"/>
            <w:vAlign w:val="center"/>
          </w:tcPr>
          <w:p>
            <w:pPr>
              <w:widowControl/>
              <w:spacing w:line="320" w:lineRule="exact"/>
              <w:jc w:val="center"/>
              <w:rPr>
                <w:rFonts w:hint="eastAsia" w:ascii="仿宋" w:hAnsi="仿宋" w:eastAsia="仿宋" w:cs="仿宋"/>
                <w:bCs/>
                <w:kern w:val="0"/>
                <w:sz w:val="21"/>
                <w:szCs w:val="21"/>
              </w:rPr>
            </w:pPr>
            <w:r>
              <w:rPr>
                <w:rFonts w:hint="eastAsia" w:ascii="仿宋" w:hAnsi="仿宋" w:eastAsia="仿宋" w:cs="仿宋"/>
                <w:b/>
                <w:bCs/>
                <w:kern w:val="0"/>
                <w:sz w:val="21"/>
                <w:szCs w:val="21"/>
                <w:lang w:eastAsia="zh-CN"/>
              </w:rPr>
              <w:t>综合得分</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专业类教学质量国家标准达标情况</w:t>
            </w:r>
            <w:r>
              <w:rPr>
                <w:rFonts w:hint="eastAsia" w:ascii="仿宋" w:hAnsi="仿宋" w:eastAsia="仿宋" w:cs="仿宋"/>
                <w:kern w:val="0"/>
                <w:sz w:val="21"/>
                <w:szCs w:val="21"/>
                <w:lang w:eastAsia="zh-CN"/>
              </w:rPr>
              <w:t>得分</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40%</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专业建设成效</w:t>
            </w:r>
            <w:r>
              <w:rPr>
                <w:rFonts w:hint="eastAsia" w:ascii="仿宋" w:hAnsi="仿宋" w:eastAsia="仿宋" w:cs="仿宋"/>
                <w:kern w:val="0"/>
                <w:sz w:val="21"/>
                <w:szCs w:val="21"/>
                <w:lang w:eastAsia="zh-CN"/>
              </w:rPr>
              <w:t>得分</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60%</w:t>
            </w:r>
            <w:r>
              <w:rPr>
                <w:rFonts w:hint="eastAsia" w:ascii="仿宋" w:hAnsi="仿宋" w:eastAsia="仿宋" w:cs="仿宋"/>
                <w:kern w:val="0"/>
                <w:sz w:val="21"/>
                <w:szCs w:val="21"/>
                <w:lang w:eastAsia="zh-CN"/>
              </w:rPr>
              <w:t>）</w:t>
            </w:r>
          </w:p>
        </w:tc>
        <w:tc>
          <w:tcPr>
            <w:tcW w:w="2040" w:type="dxa"/>
            <w:tcMar>
              <w:top w:w="0" w:type="dxa"/>
              <w:left w:w="108" w:type="dxa"/>
              <w:bottom w:w="0" w:type="dxa"/>
              <w:right w:w="108" w:type="dxa"/>
            </w:tcMar>
            <w:vAlign w:val="center"/>
          </w:tcPr>
          <w:p>
            <w:pPr>
              <w:widowControl/>
              <w:spacing w:line="320" w:lineRule="exact"/>
              <w:jc w:val="center"/>
              <w:rPr>
                <w:rFonts w:hint="eastAsia" w:ascii="仿宋" w:hAnsi="仿宋" w:eastAsia="仿宋" w:cs="仿宋"/>
                <w:bCs/>
                <w:kern w:val="0"/>
                <w:sz w:val="21"/>
                <w:szCs w:val="21"/>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B414A"/>
    <w:rsid w:val="26FF7D4B"/>
    <w:rsid w:val="49CC3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8011</Words>
  <Characters>8457</Characters>
  <Lines>0</Lines>
  <Paragraphs>0</Paragraphs>
  <TotalTime>1</TotalTime>
  <ScaleCrop>false</ScaleCrop>
  <LinksUpToDate>false</LinksUpToDate>
  <CharactersWithSpaces>8544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2022-04-22T01:35:00Z</dcterms:created>
  <dc:creator>Administrator</dc:creator>
  <cp:lastModifiedBy>神经蛙</cp:lastModifiedBy>
  <dcterms:modified xsi:type="dcterms:W3CDTF">2022-04-22T02:02:52Z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9C9C3CC647234461BBCAA93902B2B0D4</vt:lpwstr>
  </property>
</Properties>
</file>