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附件1</w:t>
      </w:r>
    </w:p>
    <w:p>
      <w:pPr>
        <w:snapToGrid w:val="0"/>
        <w:ind w:firstLine="720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河南师范大学精品在线开放课程建设标准（试行）</w:t>
      </w:r>
    </w:p>
    <w:p>
      <w:pPr>
        <w:snapToGrid w:val="0"/>
        <w:ind w:firstLine="720"/>
        <w:jc w:val="center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ind w:firstLine="6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一、</w:t>
      </w:r>
      <w:r>
        <w:rPr>
          <w:rFonts w:hint="eastAsia" w:ascii="黑体" w:hAnsi="黑体" w:eastAsia="黑体"/>
          <w:sz w:val="30"/>
          <w:szCs w:val="30"/>
        </w:rPr>
        <w:t>课程建设总体要求</w:t>
      </w:r>
    </w:p>
    <w:p>
      <w:pPr>
        <w:snapToGrid w:val="0"/>
        <w:ind w:firstLine="6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1</w:t>
      </w:r>
      <w:r>
        <w:rPr>
          <w:rFonts w:hint="eastAsia" w:eastAsia="仿宋_GB2312"/>
          <w:sz w:val="30"/>
          <w:szCs w:val="30"/>
        </w:rPr>
        <w:t>．课程理念与目标定位。拥有先进的教学理念、教学改革热情与资源共享的意识。了解网络教学规律、学生的网络学习与认知规律、MOOC碎片化交互式学习课程的特性，在教学中积极推进信息技术与学科教学的深度融合。了解该课程主要学习群体的需求，有明确的课程学习目标。</w:t>
      </w:r>
    </w:p>
    <w:p>
      <w:pPr>
        <w:snapToGrid w:val="0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eastAsia="仿宋_GB2312"/>
          <w:sz w:val="30"/>
          <w:szCs w:val="30"/>
          <w:lang w:val="en-US" w:eastAsia="zh-CN"/>
        </w:rPr>
        <w:t>2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教学内容与资源。根据预设教学目标、学科特点、学生认知规律及教学方式，围绕学科核心概念及教学内容和资源间关系，碎片化组织教学内容及资源、设置教学情境，形成围绕知识点展开、清晰表达知识框架的短视频模块集。</w:t>
      </w:r>
      <w:r>
        <w:rPr>
          <w:rFonts w:ascii="Times New Roman" w:hAnsi="Times New Roman" w:cs="Times New Roman"/>
          <w:color w:val="000000"/>
          <w:sz w:val="24"/>
          <w:szCs w:val="24"/>
        </w:rPr>
        <w:t>知识点覆盖面达到课程定位的要求，教学内容适合学习者认知特征，理论联系实际，内容实用性、实践性和时效性强，融知识传授、能力培养于一体。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应以学生为中心组织学习内容、建设学习资源，课程资源应力求丰富多样，合理使用文本、图形(图像)、音频、视频、动画和虚拟仿真等各类素材，有效发挥多媒体直观、形象、分析、探究等方面的优势，方便学生进行拓展学习。</w:t>
      </w:r>
    </w:p>
    <w:p>
      <w:pPr>
        <w:snapToGrid w:val="0"/>
        <w:ind w:firstLine="6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每个短视频以</w:t>
      </w:r>
      <w:r>
        <w:rPr>
          <w:rFonts w:eastAsia="仿宋_GB2312"/>
          <w:sz w:val="30"/>
          <w:szCs w:val="30"/>
        </w:rPr>
        <w:t>5-15</w:t>
      </w:r>
      <w:r>
        <w:rPr>
          <w:rFonts w:hint="eastAsia" w:eastAsia="仿宋_GB2312"/>
          <w:sz w:val="30"/>
          <w:szCs w:val="30"/>
        </w:rPr>
        <w:t>分钟时长为宜，针对各模块知识点或专题应设置内嵌测试的作业题或讨论题，以帮助学习者掌握学习内容或测试学习者学习效果。</w:t>
      </w:r>
    </w:p>
    <w:p>
      <w:pPr>
        <w:snapToGrid w:val="0"/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每门课程应有负责人介绍、课程介绍、教学大纲、预备知识、教学辅导、参考资料、考核方式、在线作业、在线题库和在线答疑等。课程设置应与本校课堂教学的要求相当。</w:t>
      </w:r>
    </w:p>
    <w:p>
      <w:pPr>
        <w:snapToGrid w:val="0"/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教学设计与方法。要遵循有效教学的基本规律，结合在线开放课程教学的特征与需求进行整体的教学设计。围绕教学目标精心设计教学活动，科学规划在线学习资源，明确学业评价策略和学习激励措施。课程设计、教学安排和呈现方式符合学习者移动学习和混合式教学的需求。开展在线学习与课堂教学相结合、翻转课堂等多种方式的课堂教学模式，优先支持具有混合式学习等改革实践经验的课程。</w:t>
      </w:r>
    </w:p>
    <w:p>
      <w:pPr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教学活动与评价。要重视学习任务与活动设计，积极</w:t>
      </w:r>
      <w:r>
        <w:rPr>
          <w:rFonts w:hint="eastAsia" w:ascii="仿宋_GB2312" w:hAnsi="宋体" w:eastAsia="仿宋_GB2312"/>
          <w:sz w:val="30"/>
          <w:szCs w:val="30"/>
        </w:rPr>
        <w:t>开展案例式、混合式、探究式等多种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新型</w:t>
      </w:r>
      <w:r>
        <w:rPr>
          <w:rFonts w:hint="eastAsia" w:ascii="仿宋_GB2312" w:hAnsi="宋体" w:eastAsia="仿宋_GB2312"/>
          <w:sz w:val="30"/>
          <w:szCs w:val="30"/>
        </w:rPr>
        <w:t>教学模式的学习，通过网页插入式在线测试、即时网上辅导反馈、线上线下讨论、网上作业提交和批改、网上社区讨论等，</w:t>
      </w:r>
      <w:r>
        <w:rPr>
          <w:rFonts w:hint="eastAsia" w:eastAsia="仿宋_GB2312"/>
          <w:sz w:val="30"/>
          <w:szCs w:val="30"/>
        </w:rPr>
        <w:t>促进师生之间、学生之间进行资源共享、问题交流和协作学习。</w:t>
      </w:r>
    </w:p>
    <w:p>
      <w:pPr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建立多元化学习评价体系，探索线上和线下融合，过程性评价与终结性评价相结合的多元化考核评价模式，促进学生自主性学习、过程性学习和体验式学习。课程成绩由过程性考核和终结性考核综合评定。</w:t>
      </w:r>
    </w:p>
    <w:p>
      <w:pPr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5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教学效果与影响。要注重对教学效果的跟踪评价并开展教学研究工作。基于大数据信息采集分析，</w:t>
      </w:r>
      <w:r>
        <w:rPr>
          <w:rFonts w:hint="eastAsia" w:ascii="仿宋_GB2312" w:hAnsi="宋体" w:eastAsia="仿宋_GB2312"/>
          <w:sz w:val="30"/>
          <w:szCs w:val="30"/>
        </w:rPr>
        <w:t>全程记录和跟踪教师的教学和学生的学习过程、内容、反馈，全面跟踪和掌握每个学生的个性特点、学习行为，改进学校及教师的教学质量，促进因材施教。</w:t>
      </w:r>
    </w:p>
    <w:p>
      <w:pPr>
        <w:snapToGrid w:val="0"/>
        <w:ind w:firstLine="600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充分发挥课程共享作用，推进在线开放课程学分认定和学分管理制度创新。</w:t>
      </w:r>
      <w:r>
        <w:rPr>
          <w:rFonts w:hint="eastAsia" w:ascii="仿宋_GB2312" w:hAnsi="宋体" w:eastAsia="仿宋_GB2312"/>
          <w:sz w:val="30"/>
          <w:szCs w:val="30"/>
        </w:rPr>
        <w:t>支持各高校之间在合作、共赢、协议的基础上实现在线开放共享课程的互认。课程的初始学分由推荐该课程的高校设定，其它高校可在双方协议的基础上，根据本校专业设置和课程学分设置标准自行认定学分。</w:t>
      </w:r>
    </w:p>
    <w:p>
      <w:pPr>
        <w:snapToGrid w:val="0"/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6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团队支持与服务。课程建设负责人应为高校正式聘用，具有丰富的教学经验和较高的学术造诣的教师，课程组成员均在教学一线长期承担本课程教学任务。支持和鼓励教学名师、知名专家主讲开放课程。除主讲教师外，还需配备必要助理教师和现代教育技术人员，能长期在线服务课程建设，承担课程内容更新、在线辅导、答疑等。课程正式运行后，能保证每学年都对外校开放。课程团队应负责课程相关教师的培训及教学研讨工作。通过在线开放课程建设，形成一支教学、辅导、设计和技术支持等结构合理、人员稳定、教学水平高、教学效果好、资源设计和制作能力强的优秀课程教学团队。</w:t>
      </w:r>
    </w:p>
    <w:p>
      <w:pPr>
        <w:snapToGrid w:val="0"/>
        <w:ind w:firstLine="450" w:firstLineChars="150"/>
        <w:rPr>
          <w:rFonts w:hint="eastAsia"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</w:t>
      </w:r>
      <w:r>
        <w:rPr>
          <w:rFonts w:hint="eastAsia" w:eastAsia="仿宋_GB2312"/>
          <w:sz w:val="30"/>
          <w:szCs w:val="30"/>
          <w:lang w:val="en-US" w:eastAsia="zh-CN"/>
        </w:rPr>
        <w:t>7</w:t>
      </w:r>
      <w:r>
        <w:rPr>
          <w:rFonts w:eastAsia="仿宋_GB2312"/>
          <w:sz w:val="30"/>
          <w:szCs w:val="30"/>
        </w:rPr>
        <w:t xml:space="preserve">. </w:t>
      </w:r>
      <w:r>
        <w:rPr>
          <w:rFonts w:hint="eastAsia" w:eastAsia="仿宋_GB2312"/>
          <w:sz w:val="30"/>
          <w:szCs w:val="30"/>
        </w:rPr>
        <w:t>信息安全及知识产权保障。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视频等素材应注明出处。相关高校、课程建设团队均须签订平等互利的知识产权保障协议，明确各方权利和义务，切实保障各方权益。</w:t>
      </w:r>
    </w:p>
    <w:p>
      <w:pPr>
        <w:spacing w:line="360" w:lineRule="auto"/>
        <w:ind w:firstLine="480" w:firstLineChars="200"/>
        <w:rPr>
          <w:rFonts w:hint="eastAsia" w:eastAsia="仿宋_GB2312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8.课程运行与管理。立项课程需在我校MOOC平台上运行，提供授课视频以及各种文字形式的教学资源，并建设网上授课所需的所有资源，能够开展在线学习、作业、考试、答疑和讨论等。</w:t>
      </w:r>
    </w:p>
    <w:p>
      <w:pPr>
        <w:snapToGrid w:val="0"/>
        <w:ind w:firstLine="60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二、课程视频制作规范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（一）视频内容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1.屏幕图像的构图合理，画面主体突出。人像及肢体动作以及配合讲授选用的板书、画板、教具实物、模型和实验设备等均不能超出镜头所及范围。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2.演播室使用的背景采用彩色喷绘或电脑虚拟、实景等背景。建议采用彩色喷绘背景。背景的颜色、图案不易过多，应保持静态，画面应简洁、明快，有利于营造课堂气氛。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仿宋_GB2312" w:hAnsi="华文仿宋" w:eastAsia="仿宋_GB2312"/>
          <w:sz w:val="30"/>
          <w:szCs w:val="30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>3.授课视频中主讲教师应姿势端正，衣着整洁大方，避免穿细条纹、细格子、密点的衣服。主讲教师目光应与摄像头平视，教态大方、语言流畅、语速适中</w:t>
      </w:r>
      <w:r>
        <w:rPr>
          <w:rFonts w:hint="eastAsia" w:cs="Times New Roman"/>
          <w:color w:val="000000"/>
          <w:sz w:val="24"/>
          <w:szCs w:val="24"/>
          <w:lang w:eastAsia="zh-CN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肢体语言</w:t>
      </w:r>
      <w:r>
        <w:rPr>
          <w:rFonts w:hint="eastAsia" w:cs="Times New Roman"/>
          <w:color w:val="000000"/>
          <w:sz w:val="24"/>
          <w:szCs w:val="24"/>
          <w:lang w:eastAsia="zh-CN"/>
        </w:rPr>
        <w:t>适度</w:t>
      </w:r>
      <w:r>
        <w:rPr>
          <w:rFonts w:ascii="Times New Roman" w:hAnsi="Times New Roman" w:cs="Times New Roman"/>
          <w:color w:val="000000"/>
          <w:sz w:val="24"/>
          <w:szCs w:val="24"/>
        </w:rPr>
        <w:t>，不应较长时间仰视或俯视。主讲教师应使用普通话，用语规范，语言表述清晰，流畅、简洁，避免重复性口头语，语速较平时课堂授课稍快。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4.使用资料、图片、外景实拍、实验和表演等形象化教学手段，应符合教学内容要求，与讲授内容联系紧密，手段选用恰当。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5.选用影视作品或自拍素材，应注明素材来源。影视作品或自拍素材中涉及人物访谈内容时，除应加注人物介绍外，还应采用滚动式同声字幕。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7.动画的设计与使用，要与课程内容相贴切，能够发挥良好的教学效果。</w:t>
      </w:r>
    </w:p>
    <w:p>
      <w:pPr>
        <w:ind w:firstLine="450" w:firstLineChars="15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 xml:space="preserve"> 8.动画的实现须流畅、合理、图像清晰，具有较强的可视性。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（二）视频技术规格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1.视频信号源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（1）稳定性：全片图像同步性能稳定，无失步现象，CTL同步控制信号必须连续：图像无抖动跳跃，色彩无突变，编辑点处图像稳定。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（2）信噪比：图像信噪比不低于55dB，无明显杂波。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（3）色调：白平衡正确，无明显偏色，多机拍摄的镜头衔接处无明显色差。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（4）视频电平：视频全讯号幅度为1Ⅴp-p，最大不超过1.1Ⅴ p-p。其中，消隐电平为0V时，白电平幅度0.7Ⅴp-p，同步信号-0.3V，色同步信号幅度0.3V p-p (以消隐线上下对称)，全片一致。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2.音频信号源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（1）声道：中文内容音频信号记录于第1声道，音乐、音效、同期声记录于第2声道，若有其他文字解说记录于第3声道(如录音设备无第3声道,则录于第2声道)。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（2）电平指标：-2db —— -8db声音应无明显失真、放音过冲、过弱。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（3）音频信噪比不低于48db。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（4）声音和画面要求同步，无交流声或其他杂音等缺陷。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（5）伴音清晰、饱满、圆润，无失真、噪声杂音干扰、音量忽大忽小现象。解说声与现场声无明显比例失调，解说声与背景音乐无明显比例失调。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3.视频压缩格式及技术参数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（1）视频压缩采用H.264/AVC (MPEG-4 Part10)编码、使用二次编码、不包含字幕的MP4格式。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（2）视频码流率：动态码流的最低码率不得低于1024Kb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（3）视频分辨率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前期采用标清4:3拍摄时，请设定为 720×576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前期采用高清16:9拍摄时，请设定为 1280×720或1920×1080。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（4）视频画幅宽高比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分辨率设定为 720×576的，请选定 4:3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分辨率设定为1280×720或1920×1080的，请选定 16:9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（5）视频帧率为25帧/秒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（6）扫描方式采用逐行扫描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4.音频压缩格式及技术参数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（1）音频压缩采用AAC(MPEG4 Part3)格式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 xml:space="preserve">（2）采样率48KHz 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（3）音频码流率128Kbps (恒定)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（4）必须是双声道，必须做混音处理。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5.封装</w:t>
      </w:r>
    </w:p>
    <w:p>
      <w:pPr>
        <w:ind w:firstLine="600"/>
        <w:rPr>
          <w:rFonts w:hint="eastAsia"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视频采用MP4封装，单个视频文件小于200MB。</w:t>
      </w:r>
    </w:p>
    <w:p>
      <w:pPr>
        <w:ind w:firstLine="600"/>
        <w:rPr>
          <w:rFonts w:hint="eastAsia"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 xml:space="preserve">    字幕文件采用SRT格式，中英文字幕需分成两个STR文件。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（三）演示文稿（PPT）制作规范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1.制作原则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（1）演示文稿（PPT）要求集文字、图形、图像、声音以及视频等多种媒体元素于一体，一般不使用纯文字的演示文稿（PPT）。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（2）页面设置要求符合高清格式比例，幻灯片大小为“全屏显示16：9”。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（3）整体效果应风格统一、色彩协调、美观大方。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2.字体与字号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字体与字号参照下表：</w:t>
      </w:r>
    </w:p>
    <w:tbl>
      <w:tblPr>
        <w:tblStyle w:val="11"/>
        <w:tblpPr w:leftFromText="180" w:rightFromText="180" w:vertAnchor="text" w:horzAnchor="page" w:tblpX="1707" w:tblpY="351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09"/>
        <w:gridCol w:w="1356"/>
        <w:gridCol w:w="1660"/>
        <w:gridCol w:w="1658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类型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大标题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主讲信息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一级标题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正文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字幕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字体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大黑、时尚中黑、大隶书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黑体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黑体、魏碑、大宋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雅黑、中宋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雅黑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字号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50～70磅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36～40磅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36～40磅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24～32磅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32磅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应用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上下左右居中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左右居中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左右居中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左对齐或居中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ascii="仿宋_GB2312" w:hAnsi="华文仿宋" w:eastAsia="仿宋_GB2312"/>
                <w:kern w:val="2"/>
                <w:sz w:val="24"/>
                <w:szCs w:val="24"/>
                <w:u w:color="000000"/>
              </w:rPr>
            </w:pPr>
            <w:r>
              <w:rPr>
                <w:rFonts w:hint="eastAsia" w:ascii="仿宋_GB2312" w:hAnsi="华文仿宋" w:eastAsia="仿宋_GB2312"/>
                <w:kern w:val="2"/>
                <w:sz w:val="24"/>
                <w:szCs w:val="24"/>
              </w:rPr>
              <w:t>左右居中</w:t>
            </w:r>
          </w:p>
        </w:tc>
      </w:tr>
    </w:tbl>
    <w:p>
      <w:pPr>
        <w:ind w:firstLine="640"/>
        <w:jc w:val="center"/>
        <w:rPr>
          <w:rFonts w:ascii="仿宋_GB2312" w:hAnsi="华文仿宋" w:eastAsia="仿宋_GB2312"/>
          <w:sz w:val="32"/>
          <w:szCs w:val="32"/>
        </w:rPr>
      </w:pPr>
    </w:p>
    <w:p>
      <w:pPr>
        <w:ind w:firstLine="600"/>
        <w:rPr>
          <w:rFonts w:ascii="仿宋_GB2312" w:hAnsi="华文仿宋" w:eastAsia="仿宋_GB2312"/>
          <w:color w:val="000000"/>
          <w:sz w:val="30"/>
          <w:szCs w:val="30"/>
          <w:u w:color="000000"/>
        </w:rPr>
      </w:pPr>
      <w:r>
        <w:rPr>
          <w:rFonts w:hint="eastAsia" w:ascii="仿宋_GB2312" w:hAnsi="华文仿宋" w:eastAsia="仿宋_GB2312"/>
          <w:sz w:val="30"/>
          <w:szCs w:val="30"/>
        </w:rPr>
        <w:t>3.版心与版式</w:t>
      </w:r>
      <w:bookmarkStart w:id="0" w:name="_GoBack"/>
      <w:bookmarkEnd w:id="0"/>
    </w:p>
    <w:p>
      <w:pPr>
        <w:ind w:firstLine="600"/>
        <w:rPr>
          <w:rFonts w:hint="eastAsia" w:ascii="仿宋_GB2312" w:hAnsi="华文仿宋" w:eastAsia="仿宋_GB2312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每一页面内容相对完整，文字精炼、概括性强，信息量适中，内容占总页面的65％．75％为宜，</w:t>
      </w:r>
      <w:r>
        <w:rPr>
          <w:rFonts w:hint="eastAsia" w:ascii="仿宋_GB2312" w:hAnsi="华文仿宋" w:eastAsia="仿宋_GB2312"/>
          <w:sz w:val="30"/>
          <w:szCs w:val="30"/>
        </w:rPr>
        <w:t>每页四周留出空白，应避免内容顶到页面边缘，边界安全区域分别为左、右130像素内，上、下90像素内。</w:t>
      </w:r>
    </w:p>
    <w:p>
      <w:pPr>
        <w:ind w:firstLine="600"/>
        <w:rPr>
          <w:rFonts w:hint="eastAsia"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页面内容正确、科学，表达准确，用语规范，无政治性错误与错别字。</w:t>
      </w:r>
    </w:p>
    <w:p>
      <w:pPr>
        <w:ind w:firstLine="600"/>
        <w:rPr>
          <w:rFonts w:hint="eastAsia"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尽量增加页面内容的可视化，信息呈现符合视觉习惯与视觉心理，可通过改变颜色、字体等加粗等方法对重点内容进行标注，引导学习者注意。页面设置符合高清格式比例，幻灯片大小为“全屏显示16:9”</w:t>
      </w:r>
      <w:r>
        <w:rPr>
          <w:rFonts w:hint="eastAsia" w:ascii="仿宋_GB2312" w:hAnsi="华文仿宋" w:eastAsia="仿宋_GB2312"/>
          <w:sz w:val="30"/>
          <w:szCs w:val="30"/>
          <w:lang w:eastAsia="zh-CN"/>
        </w:rPr>
        <w:t>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4.背景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（1）背景色以简洁适中饱和度为主（颜色保持在一至两种色系内）；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（2）背景和场景不宜变化过多；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（3）文字、图形等内容应与背景对比醒目。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5. 色调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（1）色彩的选配应与课程科目相吻合；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（2）每一短视频或一系列短视频在配色上应体现出系统性，可选一种主色调再加上一至两种辅助色进行匹配；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（3）同一屏里文字不宜超出三种颜色。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6.字距与行距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（1）标题：在文字少的情形下，字距放宽一倍体现舒展性；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（2）正文：行距使用1行或1.5行，便于阅读。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7. 配图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（1）图像应清晰并能反映出内容主题思想，分辨率应上72dpi以上；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（2）图片不可加长或压窄，防止变形；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（3）图形使用应通俗易懂，便于理解。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8. 修饰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（1）细线条的运用比粗线条更显精致；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（2）扁平式的装饰更接近时代审美；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（3）有趣味的装饰通常更能吸引人。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9. 版权来源</w:t>
      </w:r>
    </w:p>
    <w:p>
      <w:pPr>
        <w:ind w:firstLine="600"/>
        <w:rPr>
          <w:rFonts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/>
          <w:sz w:val="30"/>
          <w:szCs w:val="30"/>
        </w:rPr>
        <w:t>素材选用注意版权，涉及版权问题须加入“版权来源”信息。</w:t>
      </w:r>
    </w:p>
    <w:p>
      <w:pPr>
        <w:ind w:firstLine="600"/>
        <w:rPr>
          <w:rFonts w:ascii="仿宋_GB2312" w:eastAsia="仿宋_GB2312"/>
          <w:sz w:val="30"/>
          <w:szCs w:val="30"/>
        </w:rPr>
      </w:pPr>
    </w:p>
    <w:p>
      <w:pPr>
        <w:tabs>
          <w:tab w:val="left" w:pos="2715"/>
        </w:tabs>
        <w:autoSpaceDE/>
        <w:autoSpaceDN/>
        <w:adjustRightInd/>
        <w:ind w:firstLine="0" w:firstLineChars="0"/>
        <w:jc w:val="both"/>
        <w:rPr>
          <w:rFonts w:ascii="仿宋_GB2312" w:eastAsia="仿宋_GB2312"/>
          <w:sz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928" w:right="1531" w:bottom="1928" w:left="1531" w:header="851" w:footer="1531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30 -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9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5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63546429"/>
    <w:multiLevelType w:val="multilevel"/>
    <w:tmpl w:val="6354642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42"/>
    <w:rsid w:val="00001B42"/>
    <w:rsid w:val="000C5900"/>
    <w:rsid w:val="00135C73"/>
    <w:rsid w:val="001850A4"/>
    <w:rsid w:val="00440FC0"/>
    <w:rsid w:val="0044566E"/>
    <w:rsid w:val="005C2B46"/>
    <w:rsid w:val="005F1282"/>
    <w:rsid w:val="0060767D"/>
    <w:rsid w:val="00664084"/>
    <w:rsid w:val="006E2405"/>
    <w:rsid w:val="00722601"/>
    <w:rsid w:val="00823828"/>
    <w:rsid w:val="00833B37"/>
    <w:rsid w:val="00925F39"/>
    <w:rsid w:val="009A65C9"/>
    <w:rsid w:val="00A65752"/>
    <w:rsid w:val="00B61069"/>
    <w:rsid w:val="00B74400"/>
    <w:rsid w:val="00C07359"/>
    <w:rsid w:val="00C3675B"/>
    <w:rsid w:val="00C93FD4"/>
    <w:rsid w:val="00E31E51"/>
    <w:rsid w:val="00E61CAA"/>
    <w:rsid w:val="00F82837"/>
    <w:rsid w:val="046B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ind w:firstLine="420" w:firstLineChars="200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2">
    <w:name w:val="heading 1"/>
    <w:next w:val="3"/>
    <w:link w:val="12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kern w:val="0"/>
      <w:sz w:val="32"/>
      <w:szCs w:val="32"/>
      <w:lang w:val="en-US" w:eastAsia="zh-CN" w:bidi="ar-SA"/>
    </w:rPr>
  </w:style>
  <w:style w:type="paragraph" w:styleId="3">
    <w:name w:val="heading 2"/>
    <w:next w:val="1"/>
    <w:link w:val="13"/>
    <w:qFormat/>
    <w:uiPriority w:val="0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hAnsi="Arial" w:eastAsia="黑体" w:cs="Times New Roman"/>
      <w:kern w:val="0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link w:val="14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ind w:firstLine="0" w:firstLineChars="0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semiHidden/>
    <w:uiPriority w:val="0"/>
    <w:pPr>
      <w:widowControl/>
      <w:autoSpaceDE/>
      <w:autoSpaceDN/>
      <w:adjustRightInd/>
      <w:spacing w:line="425" w:lineRule="atLeast"/>
      <w:ind w:firstLine="0" w:firstLineChars="0"/>
      <w:textAlignment w:val="baseline"/>
    </w:pPr>
    <w:rPr>
      <w:color w:val="000000"/>
      <w:u w:color="000000"/>
    </w:rPr>
  </w:style>
  <w:style w:type="paragraph" w:styleId="6">
    <w:name w:val="Balloon Text"/>
    <w:basedOn w:val="1"/>
    <w:link w:val="28"/>
    <w:unhideWhenUsed/>
    <w:uiPriority w:val="99"/>
    <w:pPr>
      <w:spacing w:line="240" w:lineRule="auto"/>
    </w:pPr>
    <w:rPr>
      <w:sz w:val="18"/>
      <w:szCs w:val="18"/>
      <w:lang w:val="zh-CN" w:eastAsia="zh-CN"/>
    </w:rPr>
  </w:style>
  <w:style w:type="paragraph" w:styleId="7">
    <w:name w:val="footer"/>
    <w:link w:val="22"/>
    <w:uiPriority w:val="99"/>
    <w:pPr>
      <w:tabs>
        <w:tab w:val="center" w:pos="4510"/>
        <w:tab w:val="right" w:pos="9020"/>
      </w:tabs>
    </w:pPr>
    <w:rPr>
      <w:rFonts w:ascii="Arial" w:hAnsi="Arial" w:eastAsia="宋体" w:cs="Times New Roman"/>
      <w:kern w:val="0"/>
      <w:sz w:val="18"/>
      <w:szCs w:val="18"/>
      <w:lang w:val="en-US" w:eastAsia="zh-CN" w:bidi="ar-SA"/>
    </w:rPr>
  </w:style>
  <w:style w:type="paragraph" w:styleId="8">
    <w:name w:val="header"/>
    <w:link w:val="23"/>
    <w:uiPriority w:val="0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kern w:val="0"/>
      <w:sz w:val="18"/>
      <w:szCs w:val="18"/>
      <w:lang w:val="en-US" w:eastAsia="zh-CN" w:bidi="ar-SA"/>
    </w:r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customStyle="1" w:styleId="12">
    <w:name w:val="标题 1 Char"/>
    <w:basedOn w:val="9"/>
    <w:link w:val="2"/>
    <w:uiPriority w:val="0"/>
    <w:rPr>
      <w:rFonts w:ascii="Arial" w:hAnsi="Arial" w:eastAsia="黑体" w:cs="Times New Roman"/>
      <w:b/>
      <w:kern w:val="0"/>
      <w:sz w:val="32"/>
      <w:szCs w:val="32"/>
    </w:rPr>
  </w:style>
  <w:style w:type="character" w:customStyle="1" w:styleId="13">
    <w:name w:val="标题 2 Char"/>
    <w:basedOn w:val="9"/>
    <w:link w:val="3"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14">
    <w:name w:val="标题 3 Char"/>
    <w:basedOn w:val="9"/>
    <w:link w:val="4"/>
    <w:uiPriority w:val="0"/>
    <w:rPr>
      <w:rFonts w:ascii="Times New Roman" w:hAnsi="Times New Roman" w:eastAsia="黑体" w:cs="Times New Roman"/>
      <w:bCs/>
      <w:sz w:val="24"/>
      <w:szCs w:val="32"/>
    </w:rPr>
  </w:style>
  <w:style w:type="paragraph" w:customStyle="1" w:styleId="15">
    <w:name w:val="表格题注"/>
    <w:next w:val="1"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kern w:val="0"/>
      <w:sz w:val="18"/>
      <w:szCs w:val="18"/>
      <w:lang w:val="en-US" w:eastAsia="zh-CN" w:bidi="ar-SA"/>
    </w:rPr>
  </w:style>
  <w:style w:type="paragraph" w:customStyle="1" w:styleId="16">
    <w:name w:val="表格文本"/>
    <w:uiPriority w:val="0"/>
    <w:pPr>
      <w:tabs>
        <w:tab w:val="decimal" w:pos="0"/>
      </w:tabs>
    </w:pPr>
    <w:rPr>
      <w:rFonts w:ascii="Arial" w:hAnsi="Arial" w:eastAsia="宋体" w:cs="Times New Roman"/>
      <w:kern w:val="0"/>
      <w:sz w:val="21"/>
      <w:szCs w:val="21"/>
      <w:lang w:val="en-US" w:eastAsia="zh-CN" w:bidi="ar-SA"/>
    </w:rPr>
  </w:style>
  <w:style w:type="paragraph" w:customStyle="1" w:styleId="17">
    <w:name w:val="表头文本"/>
    <w:uiPriority w:val="0"/>
    <w:pPr>
      <w:jc w:val="center"/>
    </w:pPr>
    <w:rPr>
      <w:rFonts w:ascii="Arial" w:hAnsi="Arial" w:eastAsia="宋体" w:cs="Times New Roman"/>
      <w:b/>
      <w:kern w:val="0"/>
      <w:sz w:val="21"/>
      <w:szCs w:val="21"/>
      <w:lang w:val="en-US" w:eastAsia="zh-CN" w:bidi="ar-SA"/>
    </w:rPr>
  </w:style>
  <w:style w:type="table" w:customStyle="1" w:styleId="18">
    <w:name w:val="表样式"/>
    <w:basedOn w:val="11"/>
    <w:uiPriority w:val="0"/>
    <w:pPr>
      <w:jc w:val="both"/>
    </w:pPr>
    <w:rPr>
      <w:rFonts w:ascii="Times New Roman" w:hAnsi="Times New Roman" w:eastAsia="宋体" w:cs="Times New Roman"/>
      <w:kern w:val="0"/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19">
    <w:name w:val="插图题注"/>
    <w:next w:val="1"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kern w:val="0"/>
      <w:sz w:val="18"/>
      <w:szCs w:val="18"/>
      <w:lang w:val="en-US" w:eastAsia="zh-CN" w:bidi="ar-SA"/>
    </w:rPr>
  </w:style>
  <w:style w:type="paragraph" w:customStyle="1" w:styleId="20">
    <w:name w:val="图样式"/>
    <w:basedOn w:val="1"/>
    <w:uiPriority w:val="0"/>
    <w:pPr>
      <w:keepNext/>
      <w:widowControl/>
      <w:spacing w:before="80" w:after="80"/>
      <w:ind w:firstLine="0" w:firstLineChars="0"/>
      <w:jc w:val="center"/>
    </w:pPr>
  </w:style>
  <w:style w:type="paragraph" w:customStyle="1" w:styleId="21">
    <w:name w:val="文档标题"/>
    <w:basedOn w:val="1"/>
    <w:uiPriority w:val="0"/>
    <w:pPr>
      <w:tabs>
        <w:tab w:val="left" w:pos="0"/>
      </w:tabs>
      <w:spacing w:before="300" w:after="300"/>
      <w:ind w:firstLine="0" w:firstLineChars="0"/>
      <w:jc w:val="center"/>
    </w:pPr>
    <w:rPr>
      <w:rFonts w:ascii="Arial" w:hAnsi="Arial" w:eastAsia="黑体"/>
      <w:sz w:val="36"/>
      <w:szCs w:val="36"/>
    </w:rPr>
  </w:style>
  <w:style w:type="character" w:customStyle="1" w:styleId="22">
    <w:name w:val="页脚 Char"/>
    <w:basedOn w:val="9"/>
    <w:link w:val="7"/>
    <w:uiPriority w:val="99"/>
    <w:rPr>
      <w:rFonts w:ascii="Arial" w:hAnsi="Arial" w:eastAsia="宋体" w:cs="Times New Roman"/>
      <w:kern w:val="0"/>
      <w:sz w:val="18"/>
      <w:szCs w:val="18"/>
    </w:rPr>
  </w:style>
  <w:style w:type="character" w:customStyle="1" w:styleId="23">
    <w:name w:val="页眉 Char"/>
    <w:basedOn w:val="9"/>
    <w:link w:val="8"/>
    <w:uiPriority w:val="0"/>
    <w:rPr>
      <w:rFonts w:ascii="Arial" w:hAnsi="Arial" w:eastAsia="宋体" w:cs="Times New Roman"/>
      <w:kern w:val="0"/>
      <w:sz w:val="18"/>
      <w:szCs w:val="18"/>
    </w:rPr>
  </w:style>
  <w:style w:type="paragraph" w:customStyle="1" w:styleId="24">
    <w:name w:val="正文（首行不缩进）"/>
    <w:basedOn w:val="1"/>
    <w:uiPriority w:val="0"/>
    <w:pPr>
      <w:ind w:firstLine="0" w:firstLineChars="0"/>
    </w:pPr>
  </w:style>
  <w:style w:type="paragraph" w:customStyle="1" w:styleId="25">
    <w:name w:val="注示头"/>
    <w:basedOn w:val="1"/>
    <w:uiPriority w:val="0"/>
    <w:pPr>
      <w:pBdr>
        <w:top w:val="single" w:color="000000" w:sz="4" w:space="1"/>
      </w:pBdr>
      <w:ind w:firstLine="0" w:firstLineChars="0"/>
      <w:jc w:val="both"/>
    </w:pPr>
    <w:rPr>
      <w:rFonts w:ascii="Arial" w:hAnsi="Arial" w:eastAsia="黑体"/>
      <w:sz w:val="18"/>
      <w:szCs w:val="21"/>
    </w:rPr>
  </w:style>
  <w:style w:type="paragraph" w:customStyle="1" w:styleId="26">
    <w:name w:val="注示文本"/>
    <w:basedOn w:val="1"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楷体_GB2312"/>
      <w:sz w:val="18"/>
      <w:szCs w:val="18"/>
    </w:rPr>
  </w:style>
  <w:style w:type="paragraph" w:customStyle="1" w:styleId="27">
    <w:name w:val="编写建议"/>
    <w:basedOn w:val="1"/>
    <w:uiPriority w:val="0"/>
    <w:rPr>
      <w:rFonts w:ascii="Arial" w:hAnsi="Arial" w:cs="Arial"/>
      <w:i/>
      <w:color w:val="0000FF"/>
      <w:szCs w:val="21"/>
    </w:rPr>
  </w:style>
  <w:style w:type="character" w:customStyle="1" w:styleId="28">
    <w:name w:val="批注框文本 Char"/>
    <w:basedOn w:val="9"/>
    <w:link w:val="6"/>
    <w:semiHidden/>
    <w:uiPriority w:val="99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9">
    <w:name w:val="批注文字 Char"/>
    <w:basedOn w:val="9"/>
    <w:link w:val="5"/>
    <w:semiHidden/>
    <w:uiPriority w:val="0"/>
    <w:rPr>
      <w:rFonts w:ascii="Times New Roman" w:hAnsi="Times New Roman" w:eastAsia="宋体" w:cs="Times New Roman"/>
      <w:color w:val="000000"/>
      <w:kern w:val="0"/>
      <w:szCs w:val="20"/>
      <w:u w:color="000000"/>
    </w:rPr>
  </w:style>
  <w:style w:type="paragraph" w:customStyle="1" w:styleId="30">
    <w:name w:val="List Paragraph"/>
    <w:basedOn w:val="1"/>
    <w:qFormat/>
    <w:uiPriority w:val="99"/>
    <w:pPr>
      <w:widowControl/>
      <w:autoSpaceDE/>
      <w:autoSpaceDN/>
      <w:adjustRightInd/>
      <w:spacing w:line="425" w:lineRule="atLeast"/>
      <w:jc w:val="both"/>
    </w:pPr>
    <w:rPr>
      <w:color w:val="000000"/>
      <w:u w:color="000000"/>
    </w:rPr>
  </w:style>
  <w:style w:type="character" w:customStyle="1" w:styleId="31">
    <w:name w:val="apple-converted-space"/>
    <w:uiPriority w:val="0"/>
    <w:rPr>
      <w:rFonts w:cs="Times New Roman"/>
    </w:rPr>
  </w:style>
  <w:style w:type="paragraph" w:customStyle="1" w:styleId="32">
    <w:name w:val="列出段落1"/>
    <w:basedOn w:val="1"/>
    <w:uiPriority w:val="0"/>
    <w:pPr>
      <w:autoSpaceDE/>
      <w:autoSpaceDN/>
      <w:adjustRightInd/>
      <w:spacing w:line="240" w:lineRule="auto"/>
      <w:jc w:val="both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516</Words>
  <Characters>2943</Characters>
  <Lines>24</Lines>
  <Paragraphs>6</Paragraphs>
  <TotalTime>0</TotalTime>
  <ScaleCrop>false</ScaleCrop>
  <LinksUpToDate>false</LinksUpToDate>
  <CharactersWithSpaces>3453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2016-08-11T10:21:00Z</dcterms:created>
  <dc:creator>Bill Gates</dc:creator>
  <cp:lastModifiedBy>a</cp:lastModifiedBy>
  <cp:lastPrinted>2017-05-27T01:15:56Z</cp:lastPrinted>
  <dcterms:modified xsi:type="dcterms:W3CDTF">2017-05-27T02:56:01Z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