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5"/>
        <w:gridCol w:w="1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95" w:type="dxa"/>
            <w:shd w:val="clear" w:color="auto" w:fill="FFFFFF"/>
            <w:vAlign w:val="top"/>
          </w:tcPr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2"/>
                <w:szCs w:val="12"/>
              </w:rPr>
            </w:pPr>
          </w:p>
        </w:tc>
        <w:tc>
          <w:tcPr>
            <w:tcW w:w="11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sz w:val="29"/>
          <w:szCs w:val="2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sz w:val="29"/>
          <w:szCs w:val="2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仿宋_GB2312" w:hAnsi="仿宋_GB2312" w:eastAsia="仿宋_GB2312" w:cs="仿宋_GB2312"/>
          <w:b w:val="0"/>
          <w:i w:val="0"/>
          <w:caps w:val="0"/>
          <w:color w:val="53535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35353"/>
          <w:spacing w:val="0"/>
          <w:sz w:val="32"/>
          <w:szCs w:val="32"/>
          <w:shd w:val="clear" w:fill="FFFFFF"/>
        </w:rPr>
        <w:t>河南师范大学经济活动立项与支付管理办法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53535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39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第一章  总 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第一条  为进一步规范学校经济活动，保障资金安全，提高资金使用效益，根据“三重一大”制度有关规定和《河南师范大学党委领导下的校长负责制实施细则》（校党字〔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号），结合学校实际情况，制定本办法。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第二条  学校对经济活动的立项与支付，按照规定程序进行项目论证和实施，根据资金额度大小实行分级审批。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第二章  立项管理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第三条　项目的确立必须符合国家有关政策和学校事业发展需要。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第四条　申请立项单位必须做好项目确立的前期调研工作，充分研究项目确立与实施的必要性、可行性与预期效益，并对项目的立项背景、项目运行与管理要求、项目配套内容与措施、项目实施效果与考核、项目资金概算等内容进行详细规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第五条  申请立项单位应根据学校年度预算编制的要求，按时向学校财务处提交预算申请报告及经费预算表。财务处根据预算编制的程序，对预算申请进行汇总并报学校研究，研究通过的项目，列入年度收支预算。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第六条  使用本单位业务费、酬金、代管经费（教材费、收取的会议费或培训费）开展的经济活动，无需立项。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从年度预算专项资金支出的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万元（含）以上项目和从个人科研经费支出的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万元（含）以上项目，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项目负责人须填写《立项审批表》（见附表），经批准后予以立项。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第七条  凡属国家和地方政策要求、常规性的支出项目，如按月支出的人员工资、国拨奖助学金、文明奖、水电气、财务费用等，由财务处在年度预算时统一提出申请，提交校长办公会审议。实际支付时，由各单位财务一支笔负责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第三章  审批权限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第八条  一般项目（除后勤修缮、基建项目）的立项与支付，按下列规定权限逐级进行审批：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（一）人民币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万元以下的，由项目实施单位负责人（财务一支笔）审批。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（二）人民币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万元（含）—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万元的，由项目实施单位负责人（财务一支笔）审批后，业务分管校领导最终签字审批。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（三）人民币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万元（含）—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万元的，由项目实施单位负责人（财务一支笔）、业务分管校领导共同审批后，财务分管校领导最终签字审批。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（四）人民币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万元（含）以上的，须经校长办公会审议通过，预算内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万元（含）以上、预算外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万元（含）以上，须经党委常委会审议通过。如项目实施过程中没有重大变动且实际支出未超出立项预算金额，支付时经项目实施单位负责人（财务一支笔）、业务分管校领导共同审批后，财务分管校领导最终签字审批即可，无需再次上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第九条  后勤修缮工程项目，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万元（含）－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万元的，须由后勤管理委员会确定其审批流程及审批权限，人民币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万元（含）以上的按第八条第（四）款执行。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第十条  基建项目，须由校基建工作领导小组确定其审批流程及审批权限，按基本建设资金管理的相关要求执行。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第四章  审批内容与职责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3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第十一条  财务一支笔是经济活动审批的第一责任人，应充分了解、判断经济活动的真实性、合法性、合规性、合理性，并对其负责。同时，负责监督项目的实施进度和资金支付进度，确保项目按照计划有效开展。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3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第十二条  业务分管校领导对所分管部门的相关经济活动的必要性、预期效益进行审核。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3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第十三条  财务分管校领导结合学校财务预算和资金运作的实际情况进行审批。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第五章 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第十四条 本办法仅限于项目的立项与支付环节，项目实施过程应按照国家和学校的有关规定执行。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 第十五条  需要招投标和政府采购的项目，严格按照招投标和政府采购相关规定执行。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第十六条 本办法由财务处负责解释。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0" w:leftChars="0" w:right="0" w:rightChars="0" w:firstLine="601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</w:rPr>
        <w:t>第十七条  本办法与《河南师范大学党委领导下的校长负责制实施细则》同时施行。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39" w:lineRule="atLeast"/>
        <w:ind w:left="8880" w:leftChars="0" w:right="0" w:rightChars="0" w:hanging="8880" w:hangingChars="37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53535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53535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2017.4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24863CA9"/>
    <w:rsid w:val="24E10775"/>
    <w:rsid w:val="3CF544A6"/>
    <w:rsid w:val="422F6F98"/>
    <w:rsid w:val="49F54105"/>
    <w:rsid w:val="7EB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2018-03-16T01:56:24Z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