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60" w:lineRule="exact"/>
        <w:ind w:firstLine="643" w:firstLineChars="200"/>
        <w:jc w:val="center"/>
        <w:rPr>
          <w:rFonts w:hint="eastAsia" w:ascii="华文中宋" w:hAnsi="华文中宋" w:eastAsia="华文中宋"/>
          <w:b/>
          <w:sz w:val="32"/>
          <w:szCs w:val="32"/>
          <w:lang w:eastAsia="ko-KR"/>
        </w:rPr>
      </w:pPr>
      <w:r>
        <w:rPr>
          <w:rFonts w:hint="eastAsia" w:ascii="华文中宋" w:hAnsi="华文中宋" w:eastAsia="华文中宋"/>
          <w:b/>
          <w:sz w:val="32"/>
          <w:szCs w:val="32"/>
          <w:lang w:eastAsia="ko-KR"/>
        </w:rPr>
        <w:t>河南师范大学</w:t>
      </w:r>
    </w:p>
    <w:p>
      <w:pPr>
        <w:spacing w:before="156" w:beforeLines="50" w:after="156" w:afterLines="50" w:line="460" w:lineRule="exact"/>
        <w:ind w:firstLine="643" w:firstLineChars="200"/>
        <w:jc w:val="center"/>
        <w:rPr>
          <w:rFonts w:hint="eastAsia" w:ascii="华文中宋" w:hAnsi="华文中宋" w:eastAsia="华文中宋"/>
          <w:b/>
          <w:sz w:val="32"/>
          <w:szCs w:val="32"/>
        </w:rPr>
      </w:pPr>
      <w:r>
        <w:rPr>
          <w:rFonts w:hint="eastAsia" w:ascii="华文中宋" w:hAnsi="华文中宋" w:eastAsia="华文中宋"/>
          <w:b/>
          <w:sz w:val="32"/>
          <w:szCs w:val="32"/>
        </w:rPr>
        <w:t>第十三届</w:t>
      </w:r>
      <w:r>
        <w:rPr>
          <w:rFonts w:hint="eastAsia" w:ascii="华文中宋" w:hAnsi="华文中宋" w:eastAsia="华文中宋"/>
          <w:b/>
          <w:sz w:val="32"/>
          <w:szCs w:val="32"/>
          <w:lang w:eastAsia="ko-KR"/>
        </w:rPr>
        <w:t>大学生</w:t>
      </w:r>
      <w:r>
        <w:rPr>
          <w:rFonts w:hint="eastAsia" w:ascii="华文中宋" w:hAnsi="华文中宋" w:eastAsia="华文中宋"/>
          <w:b/>
          <w:sz w:val="32"/>
          <w:szCs w:val="32"/>
        </w:rPr>
        <w:t>心理</w:t>
      </w:r>
      <w:r>
        <w:rPr>
          <w:rFonts w:hint="eastAsia" w:ascii="华文中宋" w:hAnsi="华文中宋" w:eastAsia="华文中宋"/>
          <w:b/>
          <w:sz w:val="32"/>
          <w:szCs w:val="32"/>
          <w:lang w:eastAsia="ko-KR"/>
        </w:rPr>
        <w:t>健康宣传月演讲比赛评分细则</w:t>
      </w:r>
    </w:p>
    <w:p>
      <w:pPr>
        <w:spacing w:before="156" w:beforeLines="50" w:after="156" w:afterLines="50" w:line="460" w:lineRule="exact"/>
        <w:ind w:firstLine="643" w:firstLineChars="200"/>
        <w:jc w:val="left"/>
        <w:rPr>
          <w:rFonts w:hint="eastAsia" w:ascii="华文中宋" w:hAnsi="华文中宋" w:eastAsia="华文中宋"/>
          <w:b/>
          <w:sz w:val="32"/>
          <w:szCs w:val="32"/>
          <w:lang w:eastAsia="ko-KR"/>
        </w:rPr>
      </w:pPr>
      <w:r>
        <w:rPr>
          <w:rFonts w:hint="eastAsia" w:ascii="华文中宋" w:hAnsi="华文中宋" w:eastAsia="华文中宋"/>
          <w:b/>
          <w:sz w:val="32"/>
          <w:szCs w:val="32"/>
          <w:lang w:eastAsia="ko-KR"/>
        </w:rPr>
        <w:t>一、评分方法</w:t>
      </w:r>
    </w:p>
    <w:p>
      <w:pPr>
        <w:topLinePunct/>
        <w:snapToGrid w:val="0"/>
        <w:spacing w:before="156" w:beforeLines="50" w:after="156" w:afterLines="50" w:line="460" w:lineRule="exact"/>
        <w:ind w:firstLine="640" w:firstLineChars="200"/>
        <w:rPr>
          <w:rFonts w:hint="eastAsia" w:cs="Times New Roman"/>
          <w:kern w:val="2"/>
          <w:sz w:val="32"/>
          <w:szCs w:val="32"/>
        </w:rPr>
      </w:pPr>
      <w:r>
        <w:rPr>
          <w:rFonts w:hint="eastAsia" w:cs="Times New Roman"/>
          <w:kern w:val="2"/>
          <w:sz w:val="32"/>
          <w:szCs w:val="32"/>
        </w:rPr>
        <w:t>比赛采用“10+3”评分方法，即“主题演讲”占10分、“即兴演讲”占3分。</w:t>
      </w:r>
    </w:p>
    <w:p>
      <w:pPr>
        <w:spacing w:before="156" w:beforeLines="50" w:after="156" w:afterLines="50" w:line="460" w:lineRule="exact"/>
        <w:ind w:firstLine="643" w:firstLineChars="200"/>
        <w:jc w:val="left"/>
        <w:rPr>
          <w:rFonts w:hint="eastAsia" w:ascii="华文中宋" w:hAnsi="华文中宋" w:eastAsia="华文中宋"/>
          <w:b/>
          <w:sz w:val="32"/>
          <w:szCs w:val="32"/>
          <w:lang w:eastAsia="ko-KR"/>
        </w:rPr>
      </w:pPr>
      <w:r>
        <w:rPr>
          <w:rFonts w:hint="eastAsia" w:ascii="华文中宋" w:hAnsi="华文中宋" w:eastAsia="华文中宋"/>
          <w:b/>
          <w:sz w:val="32"/>
          <w:szCs w:val="32"/>
          <w:lang w:eastAsia="ko-KR"/>
        </w:rPr>
        <w:t>二、评分标准</w:t>
      </w:r>
    </w:p>
    <w:p>
      <w:pPr>
        <w:topLinePunct/>
        <w:snapToGrid w:val="0"/>
        <w:spacing w:before="156" w:beforeLines="50" w:after="156" w:afterLines="50" w:line="460" w:lineRule="exact"/>
        <w:ind w:firstLine="640" w:firstLineChars="200"/>
        <w:rPr>
          <w:rFonts w:hint="eastAsia" w:cs="Times New Roman"/>
          <w:kern w:val="2"/>
          <w:sz w:val="32"/>
          <w:szCs w:val="32"/>
        </w:rPr>
      </w:pPr>
      <w:r>
        <w:rPr>
          <w:rFonts w:cs="Times New Roman"/>
          <w:kern w:val="2"/>
          <w:sz w:val="32"/>
          <w:szCs w:val="32"/>
          <w:lang w:eastAsia="ko-KR"/>
        </w:rPr>
        <w:t>1</w:t>
      </w:r>
      <w:r>
        <w:rPr>
          <w:rFonts w:hint="eastAsia" w:cs="Times New Roman"/>
          <w:kern w:val="2"/>
          <w:sz w:val="32"/>
          <w:szCs w:val="32"/>
        </w:rPr>
        <w:t>、“主题演讲”共10分：普通话发音标准，音量适中，语言生动形象，语调富于变化，语速快慢合适，无语病（</w:t>
      </w:r>
      <w:r>
        <w:rPr>
          <w:rFonts w:cs="Times New Roman"/>
          <w:kern w:val="2"/>
          <w:sz w:val="32"/>
          <w:szCs w:val="32"/>
        </w:rPr>
        <w:t>2分）；内容生动充实，有深度，符合主题要求，体现时代特色；结构完整紧凑（2分）；语言表达能力强，富有感染力和幽默感，有良好的控场技巧（2分）；语态自然，神情谦和，态度热情，举止稳健，着装得体（2分）；整场效果良好，听众（观众）反应积极（2分）；</w:t>
      </w:r>
    </w:p>
    <w:p>
      <w:pPr>
        <w:topLinePunct/>
        <w:snapToGrid w:val="0"/>
        <w:spacing w:before="156" w:beforeLines="50" w:after="156" w:afterLines="50" w:line="460" w:lineRule="exact"/>
        <w:ind w:firstLine="640" w:firstLineChars="200"/>
        <w:rPr>
          <w:rFonts w:hint="eastAsia" w:cs="Times New Roman"/>
          <w:color w:val="FF0000"/>
          <w:kern w:val="2"/>
          <w:sz w:val="32"/>
          <w:szCs w:val="32"/>
        </w:rPr>
      </w:pPr>
      <w:r>
        <w:rPr>
          <w:rFonts w:hint="eastAsia" w:cs="Times New Roman"/>
          <w:kern w:val="2"/>
          <w:sz w:val="32"/>
          <w:szCs w:val="32"/>
        </w:rPr>
        <w:t>2、</w:t>
      </w:r>
      <w:r>
        <w:rPr>
          <w:rFonts w:hint="eastAsia" w:cs="Times New Roman"/>
          <w:color w:val="000000"/>
          <w:kern w:val="2"/>
          <w:sz w:val="32"/>
          <w:szCs w:val="32"/>
        </w:rPr>
        <w:t>“即兴演讲”环节共3分：内容准确符合主题内容（1分）；语言表达流畅（1分）；整场效果良好，听众（观众）反应积极（1分）。</w:t>
      </w:r>
    </w:p>
    <w:p>
      <w:pPr>
        <w:spacing w:before="156" w:beforeLines="50" w:after="156" w:afterLines="50" w:line="460" w:lineRule="exact"/>
        <w:ind w:firstLine="643" w:firstLineChars="200"/>
        <w:jc w:val="left"/>
        <w:rPr>
          <w:rFonts w:hint="eastAsia" w:ascii="华文中宋" w:hAnsi="华文中宋" w:eastAsia="华文中宋"/>
          <w:b/>
          <w:sz w:val="32"/>
          <w:szCs w:val="32"/>
          <w:lang w:eastAsia="ko-KR"/>
        </w:rPr>
      </w:pPr>
      <w:r>
        <w:rPr>
          <w:rFonts w:hint="eastAsia" w:ascii="华文中宋" w:hAnsi="华文中宋" w:eastAsia="华文中宋"/>
          <w:b/>
          <w:sz w:val="32"/>
          <w:szCs w:val="32"/>
          <w:lang w:eastAsia="ko-KR"/>
        </w:rPr>
        <w:t>三、时间要求</w:t>
      </w:r>
    </w:p>
    <w:p>
      <w:pPr>
        <w:topLinePunct/>
        <w:snapToGrid w:val="0"/>
        <w:spacing w:before="156" w:beforeLines="50" w:after="156" w:afterLines="50" w:line="460" w:lineRule="exact"/>
        <w:ind w:firstLine="640" w:firstLineChars="200"/>
        <w:rPr>
          <w:rFonts w:hint="eastAsia" w:cs="Times New Roman"/>
          <w:kern w:val="2"/>
          <w:sz w:val="32"/>
          <w:szCs w:val="32"/>
        </w:rPr>
      </w:pPr>
      <w:r>
        <w:rPr>
          <w:rFonts w:cs="Times New Roman"/>
          <w:kern w:val="2"/>
          <w:sz w:val="32"/>
          <w:szCs w:val="32"/>
        </w:rPr>
        <w:t>1、参赛选手有4到5分钟进行</w:t>
      </w:r>
      <w:r>
        <w:rPr>
          <w:rFonts w:hint="eastAsia" w:cs="Times New Roman"/>
          <w:kern w:val="2"/>
          <w:sz w:val="32"/>
          <w:szCs w:val="32"/>
        </w:rPr>
        <w:t>“</w:t>
      </w:r>
      <w:r>
        <w:rPr>
          <w:rFonts w:cs="Times New Roman"/>
          <w:kern w:val="2"/>
          <w:sz w:val="32"/>
          <w:szCs w:val="32"/>
        </w:rPr>
        <w:t>主题演讲</w:t>
      </w:r>
      <w:r>
        <w:rPr>
          <w:rFonts w:hint="eastAsia" w:cs="Times New Roman"/>
          <w:kern w:val="2"/>
          <w:sz w:val="32"/>
          <w:szCs w:val="32"/>
        </w:rPr>
        <w:t>”</w:t>
      </w:r>
      <w:r>
        <w:rPr>
          <w:rFonts w:cs="Times New Roman"/>
          <w:kern w:val="2"/>
          <w:sz w:val="32"/>
          <w:szCs w:val="32"/>
        </w:rPr>
        <w:t>，4分40秒时将有吉他弦音提示，暗示选手还有20秒。5分20秒时第二次弦音响起，我们将停止选手的演讲。如少于4分钟或超过5分钟，由计时员在备注栏内注明，并在该选手的最后得分中减去0.2分。</w:t>
      </w:r>
    </w:p>
    <w:p>
      <w:pPr>
        <w:topLinePunct/>
        <w:snapToGrid w:val="0"/>
        <w:spacing w:before="156" w:beforeLines="50" w:after="156" w:afterLines="50" w:line="460" w:lineRule="exact"/>
        <w:ind w:firstLine="640" w:firstLineChars="200"/>
        <w:rPr>
          <w:rFonts w:hint="eastAsia" w:cs="Times New Roman"/>
          <w:kern w:val="2"/>
          <w:sz w:val="32"/>
          <w:szCs w:val="32"/>
        </w:rPr>
      </w:pPr>
      <w:r>
        <w:rPr>
          <w:rFonts w:hint="eastAsia" w:cs="Times New Roman"/>
          <w:kern w:val="2"/>
          <w:sz w:val="32"/>
          <w:szCs w:val="32"/>
        </w:rPr>
        <w:t>2、“即兴演讲”时间为2到3分钟，采用现场抽题方式。在演讲进行至2分40秒时将有吉他弦音提示，提醒选手还有20秒。若演讲时间不足2分钟或超过3分钟由计时员在备注栏内注明，并在该选手最后得分中减去0.1分。</w:t>
      </w:r>
    </w:p>
    <w:p>
      <w:pPr>
        <w:spacing w:before="156" w:beforeLines="50" w:after="156" w:afterLines="50" w:line="460" w:lineRule="exact"/>
        <w:ind w:firstLine="643" w:firstLineChars="200"/>
        <w:jc w:val="left"/>
        <w:rPr>
          <w:rFonts w:hint="eastAsia" w:ascii="华文中宋" w:hAnsi="华文中宋" w:eastAsia="华文中宋"/>
          <w:b/>
          <w:sz w:val="32"/>
          <w:szCs w:val="32"/>
          <w:lang w:eastAsia="ko-KR"/>
        </w:rPr>
      </w:pPr>
      <w:r>
        <w:rPr>
          <w:rFonts w:hint="eastAsia" w:ascii="华文中宋" w:hAnsi="华文中宋" w:eastAsia="华文中宋"/>
          <w:b/>
          <w:sz w:val="32"/>
          <w:szCs w:val="32"/>
          <w:lang w:eastAsia="ko-KR"/>
        </w:rPr>
        <w:t>四、评分规则</w:t>
      </w:r>
    </w:p>
    <w:p>
      <w:pPr>
        <w:topLinePunct/>
        <w:snapToGrid w:val="0"/>
        <w:spacing w:before="156" w:beforeLines="50" w:after="156" w:afterLines="50" w:line="460" w:lineRule="exact"/>
        <w:ind w:firstLine="640" w:firstLineChars="200"/>
        <w:rPr>
          <w:rFonts w:hint="eastAsia" w:cs="Times New Roman"/>
          <w:kern w:val="2"/>
          <w:sz w:val="32"/>
          <w:szCs w:val="32"/>
        </w:rPr>
      </w:pPr>
      <w:r>
        <w:rPr>
          <w:rFonts w:hint="eastAsia" w:cs="Times New Roman"/>
          <w:kern w:val="2"/>
          <w:sz w:val="32"/>
          <w:szCs w:val="32"/>
        </w:rPr>
        <w:t>1、每场比赛前</w:t>
      </w:r>
      <w:r>
        <w:rPr>
          <w:rFonts w:cs="Times New Roman"/>
          <w:kern w:val="2"/>
          <w:sz w:val="32"/>
          <w:szCs w:val="32"/>
        </w:rPr>
        <w:t>3位选手演讲结束后，由评委一起评分，后边的选手演讲完毕后逐个评分。</w:t>
      </w:r>
    </w:p>
    <w:p>
      <w:pPr>
        <w:topLinePunct/>
        <w:snapToGrid w:val="0"/>
        <w:spacing w:before="156" w:beforeLines="50" w:after="156" w:afterLines="50" w:line="460" w:lineRule="exact"/>
        <w:ind w:firstLine="640" w:firstLineChars="200"/>
        <w:rPr>
          <w:rFonts w:hint="eastAsia" w:cs="Times New Roman"/>
          <w:kern w:val="2"/>
          <w:sz w:val="32"/>
          <w:szCs w:val="32"/>
        </w:rPr>
      </w:pPr>
      <w:r>
        <w:rPr>
          <w:rFonts w:hint="eastAsia" w:cs="Times New Roman"/>
          <w:kern w:val="2"/>
          <w:sz w:val="32"/>
          <w:szCs w:val="32"/>
        </w:rPr>
        <w:t>2、在“主题演讲”和“即兴演讲”两个环节，</w:t>
      </w:r>
      <w:r>
        <w:rPr>
          <w:rFonts w:cs="Times New Roman"/>
          <w:kern w:val="2"/>
          <w:sz w:val="32"/>
          <w:szCs w:val="32"/>
        </w:rPr>
        <w:t>评委</w:t>
      </w:r>
      <w:r>
        <w:rPr>
          <w:rFonts w:hint="eastAsia" w:cs="Times New Roman"/>
          <w:kern w:val="2"/>
          <w:sz w:val="32"/>
          <w:szCs w:val="32"/>
        </w:rPr>
        <w:t>对</w:t>
      </w:r>
      <w:r>
        <w:rPr>
          <w:rFonts w:cs="Times New Roman"/>
          <w:kern w:val="2"/>
          <w:sz w:val="32"/>
          <w:szCs w:val="32"/>
        </w:rPr>
        <w:t>每个环节评分后，去掉一个最高分和一个最低分后的平均得分为参赛选手该环节的最终得分。</w:t>
      </w:r>
    </w:p>
    <w:p>
      <w:pPr>
        <w:spacing w:before="156" w:beforeLines="50" w:after="156" w:afterLines="50" w:line="460" w:lineRule="exact"/>
        <w:ind w:firstLine="643" w:firstLineChars="200"/>
        <w:jc w:val="left"/>
        <w:rPr>
          <w:rFonts w:hint="eastAsia" w:ascii="华文中宋" w:hAnsi="华文中宋" w:eastAsia="华文中宋"/>
          <w:b/>
          <w:sz w:val="32"/>
          <w:szCs w:val="32"/>
          <w:lang w:eastAsia="ko-KR"/>
        </w:rPr>
      </w:pPr>
      <w:r>
        <w:rPr>
          <w:rFonts w:hint="eastAsia" w:ascii="华文中宋" w:hAnsi="华文中宋" w:eastAsia="华文中宋"/>
          <w:b/>
          <w:sz w:val="32"/>
          <w:szCs w:val="32"/>
          <w:lang w:eastAsia="ko-KR"/>
        </w:rPr>
        <w:t>五、成绩计算</w:t>
      </w:r>
    </w:p>
    <w:p>
      <w:pPr>
        <w:topLinePunct/>
        <w:snapToGrid w:val="0"/>
        <w:spacing w:before="156" w:beforeLines="50" w:after="156" w:afterLines="50" w:line="460" w:lineRule="exact"/>
        <w:ind w:firstLine="640" w:firstLineChars="200"/>
        <w:rPr>
          <w:rFonts w:cs="Times New Roman"/>
          <w:kern w:val="2"/>
          <w:sz w:val="32"/>
          <w:szCs w:val="32"/>
          <w:lang w:eastAsia="ko-KR"/>
        </w:rPr>
      </w:pPr>
      <w:r>
        <w:rPr>
          <w:rFonts w:cs="Times New Roman"/>
          <w:kern w:val="2"/>
          <w:sz w:val="32"/>
          <w:szCs w:val="32"/>
          <w:lang w:eastAsia="ko-KR"/>
        </w:rPr>
        <w:t>选手最终成绩=</w:t>
      </w:r>
      <w:r>
        <w:rPr>
          <w:rFonts w:hint="eastAsia" w:cs="Times New Roman"/>
          <w:kern w:val="2"/>
          <w:sz w:val="32"/>
          <w:szCs w:val="32"/>
        </w:rPr>
        <w:t>“主题演讲”</w:t>
      </w:r>
      <w:r>
        <w:rPr>
          <w:rFonts w:cs="Times New Roman"/>
          <w:kern w:val="2"/>
          <w:sz w:val="32"/>
          <w:szCs w:val="32"/>
          <w:lang w:eastAsia="ko-KR"/>
        </w:rPr>
        <w:t>成绩</w:t>
      </w:r>
      <w:r>
        <w:rPr>
          <w:rFonts w:hint="eastAsia" w:cs="Times New Roman"/>
          <w:kern w:val="2"/>
          <w:sz w:val="32"/>
          <w:szCs w:val="32"/>
        </w:rPr>
        <w:t>*7</w:t>
      </w:r>
      <w:r>
        <w:rPr>
          <w:rFonts w:cs="Times New Roman"/>
          <w:kern w:val="2"/>
          <w:sz w:val="32"/>
          <w:szCs w:val="32"/>
          <w:lang w:eastAsia="ko-KR"/>
        </w:rPr>
        <w:t>0%+</w:t>
      </w:r>
      <w:r>
        <w:rPr>
          <w:rFonts w:hint="eastAsia" w:cs="Times New Roman"/>
          <w:kern w:val="2"/>
          <w:sz w:val="32"/>
          <w:szCs w:val="32"/>
        </w:rPr>
        <w:t>“即兴演讲”</w:t>
      </w:r>
      <w:r>
        <w:rPr>
          <w:rFonts w:cs="Times New Roman"/>
          <w:kern w:val="2"/>
          <w:sz w:val="32"/>
          <w:szCs w:val="32"/>
          <w:lang w:eastAsia="ko-KR"/>
        </w:rPr>
        <w:t>成绩</w:t>
      </w:r>
      <w:r>
        <w:rPr>
          <w:rFonts w:hint="eastAsia" w:cs="Times New Roman"/>
          <w:kern w:val="2"/>
          <w:sz w:val="32"/>
          <w:szCs w:val="32"/>
        </w:rPr>
        <w:t>*3</w:t>
      </w:r>
      <w:r>
        <w:rPr>
          <w:rFonts w:cs="Times New Roman"/>
          <w:kern w:val="2"/>
          <w:sz w:val="32"/>
          <w:szCs w:val="32"/>
          <w:lang w:eastAsia="ko-KR"/>
        </w:rPr>
        <w:t>0%。</w:t>
      </w:r>
    </w:p>
    <w:p>
      <w:pPr>
        <w:topLinePunct/>
        <w:snapToGrid w:val="0"/>
        <w:spacing w:before="156" w:beforeLines="50" w:after="156" w:afterLines="50" w:line="460" w:lineRule="exact"/>
        <w:ind w:firstLine="640" w:firstLineChars="200"/>
        <w:rPr>
          <w:rFonts w:cs="Times New Roman"/>
          <w:kern w:val="2"/>
          <w:sz w:val="32"/>
          <w:szCs w:val="32"/>
          <w:lang w:eastAsia="ko-KR"/>
        </w:rPr>
      </w:pPr>
    </w:p>
    <w:p>
      <w:pPr>
        <w:topLinePunct/>
        <w:snapToGrid w:val="0"/>
        <w:spacing w:before="156" w:beforeLines="50" w:after="156" w:afterLines="50" w:line="460" w:lineRule="exact"/>
        <w:ind w:firstLine="640" w:firstLineChars="200"/>
        <w:jc w:val="center"/>
        <w:rPr>
          <w:rFonts w:cs="Times New Roman"/>
          <w:kern w:val="2"/>
          <w:sz w:val="32"/>
          <w:szCs w:val="32"/>
          <w:lang w:eastAsia="ko-KR"/>
        </w:rPr>
      </w:pPr>
    </w:p>
    <w:p>
      <w:pPr>
        <w:widowControl/>
        <w:spacing w:before="156" w:beforeLines="50" w:after="156" w:afterLines="50" w:line="460" w:lineRule="exact"/>
        <w:jc w:val="right"/>
        <w:rPr>
          <w:rFonts w:hint="eastAsia"/>
          <w:bCs/>
          <w:sz w:val="32"/>
          <w:szCs w:val="32"/>
        </w:rPr>
      </w:pPr>
      <w:r>
        <w:rPr>
          <w:rFonts w:hint="eastAsia" w:cs="Times New Roman"/>
          <w:kern w:val="2"/>
          <w:sz w:val="32"/>
          <w:szCs w:val="32"/>
        </w:rPr>
        <w:t xml:space="preserve"> </w:t>
      </w:r>
      <w:r>
        <w:rPr>
          <w:rFonts w:hint="eastAsia"/>
          <w:bCs/>
          <w:sz w:val="32"/>
          <w:szCs w:val="32"/>
        </w:rPr>
        <w:t>心理健康宣传月筹备组</w:t>
      </w:r>
    </w:p>
    <w:p>
      <w:pPr>
        <w:topLinePunct/>
        <w:snapToGrid w:val="0"/>
        <w:spacing w:before="156" w:beforeLines="50" w:after="156" w:afterLines="50" w:line="460" w:lineRule="exact"/>
        <w:ind w:firstLine="640" w:firstLineChars="200"/>
        <w:jc w:val="right"/>
        <w:rPr>
          <w:rFonts w:hint="eastAsia" w:cs="Times New Roman"/>
          <w:kern w:val="2"/>
          <w:sz w:val="32"/>
          <w:szCs w:val="32"/>
        </w:rPr>
      </w:pPr>
      <w:r>
        <w:rPr>
          <w:rFonts w:hint="eastAsia"/>
          <w:bCs/>
          <w:sz w:val="32"/>
          <w:szCs w:val="32"/>
        </w:rPr>
        <w:t xml:space="preserve">                             </w:t>
      </w:r>
      <w:r>
        <w:rPr>
          <w:bCs/>
          <w:sz w:val="32"/>
          <w:szCs w:val="32"/>
        </w:rPr>
        <w:t xml:space="preserve">   </w:t>
      </w:r>
      <w:r>
        <w:rPr>
          <w:rFonts w:hint="eastAsia"/>
          <w:bCs/>
          <w:sz w:val="32"/>
          <w:szCs w:val="32"/>
        </w:rPr>
        <w:t>2018年4月19日</w:t>
      </w:r>
    </w:p>
    <w:p>
      <w:pPr>
        <w:autoSpaceDE w:val="0"/>
        <w:autoSpaceDN w:val="0"/>
        <w:snapToGrid w:val="0"/>
        <w:spacing w:before="156" w:beforeLines="50" w:after="156" w:afterLines="50" w:line="460" w:lineRule="exact"/>
        <w:ind w:firstLine="640" w:firstLineChars="200"/>
        <w:jc w:val="right"/>
        <w:rPr>
          <w:rFonts w:hint="eastAsia" w:cs="Times New Roman"/>
          <w:kern w:val="2"/>
          <w:sz w:val="32"/>
          <w:szCs w:val="32"/>
        </w:rPr>
      </w:pPr>
    </w:p>
    <w:p>
      <w:pPr>
        <w:autoSpaceDE w:val="0"/>
        <w:autoSpaceDN w:val="0"/>
        <w:snapToGrid w:val="0"/>
        <w:spacing w:before="156" w:beforeLines="50" w:after="156" w:afterLines="50" w:line="460" w:lineRule="exact"/>
        <w:ind w:firstLine="640" w:firstLineChars="200"/>
        <w:jc w:val="right"/>
        <w:rPr>
          <w:rFonts w:hint="eastAsia" w:cs="Times New Roman"/>
          <w:kern w:val="2"/>
          <w:sz w:val="32"/>
          <w:szCs w:val="32"/>
        </w:rPr>
      </w:pPr>
    </w:p>
    <w:p>
      <w:pPr>
        <w:spacing w:line="520" w:lineRule="exact"/>
        <w:jc w:val="center"/>
        <w:rPr>
          <w:rFonts w:hint="eastAsia" w:ascii="华文中宋" w:hAnsi="华文中宋" w:eastAsia="华文中宋" w:cs="Times New Roman"/>
          <w:b/>
          <w:kern w:val="2"/>
          <w:sz w:val="32"/>
          <w:szCs w:val="32"/>
          <w:lang w:eastAsia="ko-KR"/>
        </w:rPr>
      </w:pPr>
      <w:r>
        <w:rPr>
          <w:rFonts w:hint="eastAsia" w:ascii="华文中宋" w:hAnsi="华文中宋" w:eastAsia="华文中宋" w:cs="Times New Roman"/>
          <w:b/>
          <w:kern w:val="2"/>
          <w:sz w:val="32"/>
          <w:szCs w:val="32"/>
          <w:lang w:eastAsia="ko-KR"/>
        </w:rPr>
        <w:t>河南师范大学</w:t>
      </w:r>
    </w:p>
    <w:p>
      <w:pPr>
        <w:spacing w:line="520" w:lineRule="exact"/>
        <w:jc w:val="center"/>
        <w:rPr>
          <w:rFonts w:hint="eastAsia" w:ascii="华文中宋" w:hAnsi="华文中宋" w:eastAsia="华文中宋" w:cs="Times New Roman"/>
          <w:b/>
          <w:kern w:val="2"/>
          <w:sz w:val="32"/>
          <w:szCs w:val="32"/>
          <w:lang w:eastAsia="ko-KR"/>
        </w:rPr>
      </w:pPr>
      <w:r>
        <w:rPr>
          <w:rFonts w:hint="eastAsia" w:ascii="华文中宋" w:hAnsi="华文中宋" w:eastAsia="华文中宋" w:cs="Times New Roman"/>
          <w:b/>
          <w:kern w:val="2"/>
          <w:sz w:val="32"/>
          <w:szCs w:val="32"/>
          <w:lang w:eastAsia="ko-KR"/>
        </w:rPr>
        <w:t>第十三届大学生心理健康宣传月演讲比赛</w:t>
      </w:r>
      <w:r>
        <w:rPr>
          <w:rFonts w:hint="eastAsia" w:ascii="华文中宋" w:hAnsi="华文中宋" w:eastAsia="华文中宋" w:cs="Times New Roman"/>
          <w:b/>
          <w:kern w:val="2"/>
          <w:sz w:val="32"/>
          <w:szCs w:val="32"/>
        </w:rPr>
        <w:t>参赛</w:t>
      </w:r>
      <w:r>
        <w:rPr>
          <w:rFonts w:hint="eastAsia" w:ascii="华文中宋" w:hAnsi="华文中宋" w:eastAsia="华文中宋" w:cs="Times New Roman"/>
          <w:b/>
          <w:kern w:val="2"/>
          <w:sz w:val="32"/>
          <w:szCs w:val="32"/>
          <w:lang w:eastAsia="ko-KR"/>
        </w:rPr>
        <w:t>选手汇总表</w:t>
      </w:r>
    </w:p>
    <w:p>
      <w:pPr>
        <w:spacing w:line="520" w:lineRule="exact"/>
        <w:jc w:val="center"/>
        <w:rPr>
          <w:rFonts w:hint="eastAsia" w:cs="Times New Roman"/>
          <w:b/>
          <w:kern w:val="2"/>
          <w:sz w:val="32"/>
          <w:szCs w:val="32"/>
          <w:lang w:eastAsia="ko-KR"/>
        </w:rPr>
      </w:pPr>
    </w:p>
    <w:tbl>
      <w:tblPr>
        <w:tblStyle w:val="3"/>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14"/>
        <w:gridCol w:w="1538"/>
        <w:gridCol w:w="1538"/>
        <w:gridCol w:w="1538"/>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59" w:type="dxa"/>
            <w:vAlign w:val="center"/>
          </w:tcPr>
          <w:p>
            <w:pPr>
              <w:spacing w:line="520" w:lineRule="exact"/>
              <w:jc w:val="center"/>
              <w:rPr>
                <w:rFonts w:hint="eastAsia" w:cs="Times New Roman"/>
                <w:b/>
                <w:kern w:val="2"/>
              </w:rPr>
            </w:pPr>
            <w:r>
              <w:rPr>
                <w:rFonts w:hint="eastAsia" w:cs="Times New Roman"/>
                <w:b/>
                <w:kern w:val="2"/>
              </w:rPr>
              <w:t>序号</w:t>
            </w:r>
          </w:p>
        </w:tc>
        <w:tc>
          <w:tcPr>
            <w:tcW w:w="2114" w:type="dxa"/>
            <w:vAlign w:val="center"/>
          </w:tcPr>
          <w:p>
            <w:pPr>
              <w:spacing w:line="520" w:lineRule="exact"/>
              <w:jc w:val="center"/>
              <w:rPr>
                <w:rFonts w:hint="eastAsia" w:cs="Times New Roman"/>
                <w:b/>
                <w:kern w:val="2"/>
              </w:rPr>
            </w:pPr>
            <w:r>
              <w:rPr>
                <w:rFonts w:hint="eastAsia" w:cs="Times New Roman"/>
                <w:b/>
                <w:kern w:val="2"/>
              </w:rPr>
              <w:t>学院</w:t>
            </w:r>
          </w:p>
        </w:tc>
        <w:tc>
          <w:tcPr>
            <w:tcW w:w="1538" w:type="dxa"/>
            <w:vAlign w:val="center"/>
          </w:tcPr>
          <w:p>
            <w:pPr>
              <w:spacing w:line="520" w:lineRule="exact"/>
              <w:jc w:val="center"/>
              <w:rPr>
                <w:rFonts w:hint="eastAsia" w:cs="Times New Roman"/>
                <w:b/>
                <w:kern w:val="2"/>
              </w:rPr>
            </w:pPr>
            <w:r>
              <w:rPr>
                <w:rFonts w:hint="eastAsia" w:cs="Times New Roman"/>
                <w:b/>
                <w:kern w:val="2"/>
              </w:rPr>
              <w:t>学号</w:t>
            </w:r>
          </w:p>
        </w:tc>
        <w:tc>
          <w:tcPr>
            <w:tcW w:w="1538" w:type="dxa"/>
            <w:vAlign w:val="center"/>
          </w:tcPr>
          <w:p>
            <w:pPr>
              <w:spacing w:line="520" w:lineRule="exact"/>
              <w:jc w:val="center"/>
              <w:rPr>
                <w:rFonts w:hint="eastAsia" w:cs="Times New Roman"/>
                <w:b/>
                <w:kern w:val="2"/>
              </w:rPr>
            </w:pPr>
            <w:r>
              <w:rPr>
                <w:rFonts w:hint="eastAsia" w:cs="Times New Roman"/>
                <w:b/>
                <w:kern w:val="2"/>
              </w:rPr>
              <w:t>姓名</w:t>
            </w:r>
          </w:p>
        </w:tc>
        <w:tc>
          <w:tcPr>
            <w:tcW w:w="1538" w:type="dxa"/>
            <w:vAlign w:val="center"/>
          </w:tcPr>
          <w:p>
            <w:pPr>
              <w:spacing w:line="520" w:lineRule="exact"/>
              <w:jc w:val="center"/>
              <w:rPr>
                <w:rFonts w:hint="eastAsia" w:cs="Times New Roman"/>
                <w:b/>
                <w:kern w:val="2"/>
              </w:rPr>
            </w:pPr>
            <w:r>
              <w:rPr>
                <w:rFonts w:hint="eastAsia" w:cs="Times New Roman"/>
                <w:b/>
                <w:kern w:val="2"/>
              </w:rPr>
              <w:t>联系方式</w:t>
            </w:r>
          </w:p>
        </w:tc>
        <w:tc>
          <w:tcPr>
            <w:tcW w:w="1487" w:type="dxa"/>
            <w:vAlign w:val="center"/>
          </w:tcPr>
          <w:p>
            <w:pPr>
              <w:spacing w:line="520" w:lineRule="exact"/>
              <w:jc w:val="center"/>
              <w:rPr>
                <w:rFonts w:hint="eastAsia" w:cs="Times New Roman"/>
                <w:b/>
                <w:kern w:val="2"/>
              </w:rPr>
            </w:pPr>
            <w:r>
              <w:rPr>
                <w:rFonts w:hint="eastAsia" w:cs="Times New Roman"/>
                <w:b/>
                <w:kern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520" w:lineRule="exact"/>
              <w:jc w:val="center"/>
              <w:rPr>
                <w:rFonts w:hint="eastAsia" w:cs="Times New Roman"/>
                <w:b/>
                <w:kern w:val="2"/>
                <w:sz w:val="32"/>
                <w:szCs w:val="32"/>
              </w:rPr>
            </w:pPr>
          </w:p>
        </w:tc>
        <w:tc>
          <w:tcPr>
            <w:tcW w:w="2114" w:type="dxa"/>
            <w:vAlign w:val="center"/>
          </w:tcPr>
          <w:p>
            <w:pPr>
              <w:spacing w:line="520" w:lineRule="exact"/>
              <w:jc w:val="center"/>
              <w:rPr>
                <w:rFonts w:hint="eastAsia" w:cs="Times New Roman"/>
                <w:b/>
                <w:kern w:val="2"/>
                <w:sz w:val="32"/>
                <w:szCs w:val="32"/>
              </w:rPr>
            </w:pPr>
          </w:p>
        </w:tc>
        <w:tc>
          <w:tcPr>
            <w:tcW w:w="1538" w:type="dxa"/>
            <w:vAlign w:val="center"/>
          </w:tcPr>
          <w:p>
            <w:pPr>
              <w:spacing w:line="520" w:lineRule="exact"/>
              <w:jc w:val="center"/>
              <w:rPr>
                <w:rFonts w:hint="eastAsia" w:cs="Times New Roman"/>
                <w:b/>
                <w:kern w:val="2"/>
                <w:sz w:val="32"/>
                <w:szCs w:val="32"/>
              </w:rPr>
            </w:pPr>
          </w:p>
        </w:tc>
        <w:tc>
          <w:tcPr>
            <w:tcW w:w="1538" w:type="dxa"/>
            <w:vAlign w:val="center"/>
          </w:tcPr>
          <w:p>
            <w:pPr>
              <w:spacing w:line="520" w:lineRule="exact"/>
              <w:jc w:val="center"/>
              <w:rPr>
                <w:rFonts w:hint="eastAsia" w:cs="Times New Roman"/>
                <w:b/>
                <w:kern w:val="2"/>
                <w:sz w:val="32"/>
                <w:szCs w:val="32"/>
              </w:rPr>
            </w:pPr>
          </w:p>
        </w:tc>
        <w:tc>
          <w:tcPr>
            <w:tcW w:w="1538" w:type="dxa"/>
            <w:vAlign w:val="center"/>
          </w:tcPr>
          <w:p>
            <w:pPr>
              <w:spacing w:line="520" w:lineRule="exact"/>
              <w:jc w:val="center"/>
              <w:rPr>
                <w:rFonts w:hint="eastAsia" w:cs="Times New Roman"/>
                <w:b/>
                <w:kern w:val="2"/>
                <w:sz w:val="32"/>
                <w:szCs w:val="32"/>
              </w:rPr>
            </w:pPr>
          </w:p>
        </w:tc>
        <w:tc>
          <w:tcPr>
            <w:tcW w:w="1487" w:type="dxa"/>
            <w:vAlign w:val="center"/>
          </w:tcPr>
          <w:p>
            <w:pPr>
              <w:spacing w:line="520" w:lineRule="exact"/>
              <w:jc w:val="center"/>
              <w:rPr>
                <w:rFonts w:hint="eastAsia" w:cs="Times New Roman"/>
                <w:b/>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520" w:lineRule="exact"/>
              <w:jc w:val="center"/>
              <w:rPr>
                <w:rFonts w:hint="eastAsia" w:cs="Times New Roman"/>
                <w:b/>
                <w:kern w:val="2"/>
                <w:sz w:val="32"/>
                <w:szCs w:val="32"/>
              </w:rPr>
            </w:pPr>
          </w:p>
        </w:tc>
        <w:tc>
          <w:tcPr>
            <w:tcW w:w="2114" w:type="dxa"/>
            <w:vAlign w:val="center"/>
          </w:tcPr>
          <w:p>
            <w:pPr>
              <w:spacing w:line="520" w:lineRule="exact"/>
              <w:jc w:val="center"/>
              <w:rPr>
                <w:rFonts w:hint="eastAsia" w:cs="Times New Roman"/>
                <w:b/>
                <w:kern w:val="2"/>
                <w:sz w:val="32"/>
                <w:szCs w:val="32"/>
              </w:rPr>
            </w:pPr>
          </w:p>
        </w:tc>
        <w:tc>
          <w:tcPr>
            <w:tcW w:w="1538" w:type="dxa"/>
            <w:vAlign w:val="center"/>
          </w:tcPr>
          <w:p>
            <w:pPr>
              <w:spacing w:line="520" w:lineRule="exact"/>
              <w:jc w:val="center"/>
              <w:rPr>
                <w:rFonts w:hint="eastAsia" w:cs="Times New Roman"/>
                <w:b/>
                <w:kern w:val="2"/>
                <w:sz w:val="32"/>
                <w:szCs w:val="32"/>
              </w:rPr>
            </w:pPr>
          </w:p>
        </w:tc>
        <w:tc>
          <w:tcPr>
            <w:tcW w:w="1538" w:type="dxa"/>
            <w:vAlign w:val="center"/>
          </w:tcPr>
          <w:p>
            <w:pPr>
              <w:spacing w:line="520" w:lineRule="exact"/>
              <w:jc w:val="center"/>
              <w:rPr>
                <w:rFonts w:hint="eastAsia" w:cs="Times New Roman"/>
                <w:b/>
                <w:kern w:val="2"/>
                <w:sz w:val="32"/>
                <w:szCs w:val="32"/>
              </w:rPr>
            </w:pPr>
          </w:p>
        </w:tc>
        <w:tc>
          <w:tcPr>
            <w:tcW w:w="1538" w:type="dxa"/>
            <w:vAlign w:val="center"/>
          </w:tcPr>
          <w:p>
            <w:pPr>
              <w:spacing w:line="520" w:lineRule="exact"/>
              <w:jc w:val="center"/>
              <w:rPr>
                <w:rFonts w:hint="eastAsia" w:cs="Times New Roman"/>
                <w:b/>
                <w:kern w:val="2"/>
                <w:sz w:val="32"/>
                <w:szCs w:val="32"/>
              </w:rPr>
            </w:pPr>
          </w:p>
        </w:tc>
        <w:tc>
          <w:tcPr>
            <w:tcW w:w="1487" w:type="dxa"/>
            <w:vAlign w:val="center"/>
          </w:tcPr>
          <w:p>
            <w:pPr>
              <w:spacing w:line="520" w:lineRule="exact"/>
              <w:jc w:val="center"/>
              <w:rPr>
                <w:rFonts w:hint="eastAsia" w:cs="Times New Roman"/>
                <w:b/>
                <w:kern w:val="2"/>
                <w:sz w:val="32"/>
                <w:szCs w:val="32"/>
              </w:rPr>
            </w:pPr>
          </w:p>
        </w:tc>
      </w:tr>
    </w:tbl>
    <w:p>
      <w:pPr>
        <w:spacing w:line="520" w:lineRule="exact"/>
        <w:jc w:val="center"/>
        <w:rPr>
          <w:rFonts w:hint="eastAsia" w:cs="Times New Roman"/>
          <w:b/>
          <w:kern w:val="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070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cs="宋体"/>
      <w:sz w:val="24"/>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2018-04-19T08:06:42Z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