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84F" w:rsidRDefault="002D684F" w:rsidP="002D684F">
      <w:pPr>
        <w:pStyle w:val="2"/>
        <w:snapToGrid w:val="0"/>
        <w:spacing w:before="120" w:after="120" w:line="240" w:lineRule="atLeast"/>
        <w:jc w:val="center"/>
        <w:rPr>
          <w:rFonts w:hint="eastAsia"/>
        </w:rPr>
      </w:pPr>
      <w:bookmarkStart w:id="0" w:name="_Toc43106570"/>
      <w:bookmarkStart w:id="1" w:name="_Toc43106814"/>
      <w:bookmarkStart w:id="2" w:name="_Toc43107535"/>
      <w:r>
        <w:rPr>
          <w:rFonts w:hint="eastAsia"/>
        </w:rPr>
        <w:t>河南师范大学</w:t>
      </w:r>
      <w:r w:rsidRPr="00E7139E">
        <w:rPr>
          <w:rFonts w:hint="eastAsia"/>
        </w:rPr>
        <w:t>新联学院（郑州）</w:t>
      </w:r>
    </w:p>
    <w:p w:rsidR="002D684F" w:rsidRPr="00E7139E" w:rsidRDefault="002D684F" w:rsidP="002D684F">
      <w:pPr>
        <w:pStyle w:val="2"/>
        <w:snapToGrid w:val="0"/>
        <w:spacing w:before="120" w:after="120" w:line="240" w:lineRule="atLeast"/>
        <w:jc w:val="center"/>
      </w:pPr>
      <w:r w:rsidRPr="00E7139E">
        <w:rPr>
          <w:rFonts w:hint="eastAsia"/>
        </w:rPr>
        <w:t>2018-2019</w:t>
      </w:r>
      <w:r w:rsidRPr="00E7139E">
        <w:rPr>
          <w:rFonts w:hint="eastAsia"/>
        </w:rPr>
        <w:t>年高职高专、艺术专科分专业录取情况</w:t>
      </w:r>
      <w:bookmarkEnd w:id="0"/>
      <w:bookmarkEnd w:id="1"/>
      <w:bookmarkEnd w:id="2"/>
    </w:p>
    <w:tbl>
      <w:tblPr>
        <w:tblW w:w="50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0"/>
        <w:gridCol w:w="731"/>
        <w:gridCol w:w="1106"/>
        <w:gridCol w:w="750"/>
        <w:gridCol w:w="750"/>
        <w:gridCol w:w="750"/>
        <w:gridCol w:w="738"/>
        <w:gridCol w:w="750"/>
        <w:gridCol w:w="750"/>
        <w:gridCol w:w="750"/>
        <w:gridCol w:w="732"/>
      </w:tblGrid>
      <w:tr w:rsidR="002D684F" w:rsidRPr="002A344F" w:rsidTr="002D684F">
        <w:trPr>
          <w:trHeight w:val="458"/>
          <w:jc w:val="center"/>
        </w:trPr>
        <w:tc>
          <w:tcPr>
            <w:tcW w:w="428" w:type="pct"/>
            <w:vMerge w:val="restart"/>
            <w:shd w:val="clear" w:color="auto" w:fill="auto"/>
            <w:noWrap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29" w:type="pct"/>
            <w:vMerge w:val="restart"/>
            <w:shd w:val="clear" w:color="auto" w:fill="auto"/>
            <w:noWrap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科类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</w:t>
            </w:r>
          </w:p>
        </w:tc>
        <w:tc>
          <w:tcPr>
            <w:tcW w:w="1749" w:type="pct"/>
            <w:gridSpan w:val="4"/>
            <w:shd w:val="clear" w:color="auto" w:fill="auto"/>
            <w:noWrap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2019年</w:t>
            </w:r>
          </w:p>
        </w:tc>
        <w:tc>
          <w:tcPr>
            <w:tcW w:w="1747" w:type="pct"/>
            <w:gridSpan w:val="4"/>
            <w:shd w:val="clear" w:color="auto" w:fill="auto"/>
            <w:noWrap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2018年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vMerge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vMerge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vMerge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最高分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最低分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平均分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线差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最高分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最低分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省控线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C41528" w:rsidRDefault="002D684F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C4152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线差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9" w:type="pct"/>
            <w:vMerge w:val="restar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409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151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会计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407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151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398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153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 w:hint="eastAsia"/>
                <w:sz w:val="18"/>
                <w:szCs w:val="18"/>
              </w:rPr>
              <w:t>市场营销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402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语文教育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447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405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401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英语教育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早期教育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407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448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152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29" w:type="pct"/>
            <w:vMerge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000000" w:fill="C4BD97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数字媒体艺术设计</w:t>
            </w:r>
          </w:p>
        </w:tc>
        <w:tc>
          <w:tcPr>
            <w:tcW w:w="439" w:type="pct"/>
            <w:shd w:val="clear" w:color="000000" w:fill="C4BD97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256</w:t>
            </w:r>
          </w:p>
        </w:tc>
        <w:tc>
          <w:tcPr>
            <w:tcW w:w="439" w:type="pct"/>
            <w:shd w:val="clear" w:color="000000" w:fill="C4BD97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439" w:type="pct"/>
            <w:shd w:val="clear" w:color="000000" w:fill="C4BD97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431" w:type="pct"/>
            <w:shd w:val="clear" w:color="000000" w:fill="C4BD97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439" w:type="pct"/>
            <w:shd w:val="clear" w:color="000000" w:fill="C4BD97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39" w:type="pct"/>
            <w:shd w:val="clear" w:color="000000" w:fill="C4BD97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39" w:type="pct"/>
            <w:shd w:val="clear" w:color="000000" w:fill="C4BD97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29" w:type="pct"/>
            <w:shd w:val="clear" w:color="000000" w:fill="C4BD97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000000" w:fill="C4BD97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展示艺术设计</w:t>
            </w:r>
          </w:p>
        </w:tc>
        <w:tc>
          <w:tcPr>
            <w:tcW w:w="439" w:type="pct"/>
            <w:shd w:val="clear" w:color="000000" w:fill="C4BD97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261</w:t>
            </w:r>
          </w:p>
        </w:tc>
        <w:tc>
          <w:tcPr>
            <w:tcW w:w="439" w:type="pct"/>
            <w:shd w:val="clear" w:color="000000" w:fill="C4BD97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  <w:t>215</w:t>
            </w:r>
          </w:p>
        </w:tc>
        <w:tc>
          <w:tcPr>
            <w:tcW w:w="439" w:type="pct"/>
            <w:shd w:val="clear" w:color="000000" w:fill="C4BD97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226</w:t>
            </w:r>
          </w:p>
        </w:tc>
        <w:tc>
          <w:tcPr>
            <w:tcW w:w="431" w:type="pct"/>
            <w:shd w:val="clear" w:color="000000" w:fill="C4BD97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39" w:type="pct"/>
            <w:shd w:val="clear" w:color="000000" w:fill="C4BD97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439" w:type="pct"/>
            <w:shd w:val="clear" w:color="000000" w:fill="C4BD97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439" w:type="pct"/>
            <w:shd w:val="clear" w:color="000000" w:fill="C4BD97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429" w:type="pct"/>
            <w:shd w:val="clear" w:color="000000" w:fill="C4BD97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9" w:type="pct"/>
            <w:vMerge w:val="restar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341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292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会计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345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291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333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359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291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 w:hint="eastAsia"/>
                <w:sz w:val="18"/>
                <w:szCs w:val="18"/>
              </w:rPr>
              <w:t>市场营销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324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292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语文教育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345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290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343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291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英语教育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347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392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290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早期教育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Calibri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293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29" w:type="pct"/>
            <w:vMerge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000000" w:fill="C4BD97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数字媒体艺术设计</w:t>
            </w:r>
          </w:p>
        </w:tc>
        <w:tc>
          <w:tcPr>
            <w:tcW w:w="439" w:type="pct"/>
            <w:shd w:val="clear" w:color="000000" w:fill="C4BD97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439" w:type="pct"/>
            <w:shd w:val="clear" w:color="000000" w:fill="C4BD97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439" w:type="pct"/>
            <w:shd w:val="clear" w:color="000000" w:fill="C4BD97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223</w:t>
            </w:r>
          </w:p>
        </w:tc>
        <w:tc>
          <w:tcPr>
            <w:tcW w:w="431" w:type="pct"/>
            <w:shd w:val="clear" w:color="000000" w:fill="C4BD97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439" w:type="pct"/>
            <w:shd w:val="clear" w:color="000000" w:fill="C4BD97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39" w:type="pct"/>
            <w:shd w:val="clear" w:color="000000" w:fill="C4BD97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39" w:type="pct"/>
            <w:shd w:val="clear" w:color="000000" w:fill="C4BD97"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29" w:type="pct"/>
            <w:shd w:val="clear" w:color="000000" w:fill="C4BD97"/>
            <w:noWrap/>
            <w:vAlign w:val="center"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2D684F" w:rsidRPr="002A344F" w:rsidTr="002D684F">
        <w:trPr>
          <w:trHeight w:val="458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29" w:type="pct"/>
            <w:vMerge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shd w:val="clear" w:color="000000" w:fill="C4BD97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展示艺术设计</w:t>
            </w:r>
          </w:p>
        </w:tc>
        <w:tc>
          <w:tcPr>
            <w:tcW w:w="439" w:type="pct"/>
            <w:shd w:val="clear" w:color="000000" w:fill="C4BD97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264</w:t>
            </w:r>
          </w:p>
        </w:tc>
        <w:tc>
          <w:tcPr>
            <w:tcW w:w="439" w:type="pct"/>
            <w:shd w:val="clear" w:color="000000" w:fill="C4BD97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439" w:type="pct"/>
            <w:shd w:val="clear" w:color="000000" w:fill="C4BD97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431" w:type="pct"/>
            <w:shd w:val="clear" w:color="000000" w:fill="C4BD97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439" w:type="pct"/>
            <w:shd w:val="clear" w:color="000000" w:fill="C4BD97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258</w:t>
            </w:r>
          </w:p>
        </w:tc>
        <w:tc>
          <w:tcPr>
            <w:tcW w:w="439" w:type="pct"/>
            <w:shd w:val="clear" w:color="000000" w:fill="C4BD97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439" w:type="pct"/>
            <w:shd w:val="clear" w:color="000000" w:fill="C4BD97"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429" w:type="pct"/>
            <w:shd w:val="clear" w:color="000000" w:fill="C4BD97"/>
            <w:noWrap/>
            <w:vAlign w:val="center"/>
            <w:hideMark/>
          </w:tcPr>
          <w:p w:rsidR="002D684F" w:rsidRPr="002A344F" w:rsidRDefault="002D684F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2A344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</w:tr>
    </w:tbl>
    <w:p w:rsidR="002D684F" w:rsidRDefault="002D684F" w:rsidP="002D684F">
      <w:pPr>
        <w:widowControl/>
        <w:jc w:val="left"/>
        <w:rPr>
          <w:rFonts w:asciiTheme="minorEastAsia" w:hAnsiTheme="minorEastAsia" w:cs="宋体" w:hint="eastAsia"/>
          <w:b/>
          <w:bCs/>
          <w:color w:val="000000"/>
          <w:kern w:val="0"/>
          <w:sz w:val="18"/>
          <w:szCs w:val="18"/>
        </w:rPr>
      </w:pPr>
    </w:p>
    <w:p w:rsidR="002D684F" w:rsidRPr="002D684F" w:rsidRDefault="002D684F" w:rsidP="002D684F">
      <w:pPr>
        <w:widowControl/>
        <w:jc w:val="left"/>
        <w:rPr>
          <w:rFonts w:asciiTheme="minorEastAsia" w:hAnsiTheme="minorEastAsia" w:cs="宋体" w:hint="eastAsia"/>
          <w:b/>
          <w:bCs/>
          <w:color w:val="000000"/>
          <w:kern w:val="0"/>
          <w:sz w:val="18"/>
          <w:szCs w:val="18"/>
        </w:rPr>
      </w:pPr>
      <w:r w:rsidRPr="002D684F">
        <w:rPr>
          <w:rFonts w:asciiTheme="minorEastAsia" w:hAnsiTheme="minorEastAsia" w:cs="宋体" w:hint="eastAsia"/>
          <w:b/>
          <w:bCs/>
          <w:color w:val="000000"/>
          <w:kern w:val="0"/>
          <w:sz w:val="18"/>
          <w:szCs w:val="18"/>
        </w:rPr>
        <w:t>备注：</w:t>
      </w:r>
    </w:p>
    <w:p w:rsidR="002D684F" w:rsidRPr="002D684F" w:rsidRDefault="002D684F" w:rsidP="002D684F">
      <w:pPr>
        <w:widowControl/>
        <w:jc w:val="left"/>
        <w:rPr>
          <w:rFonts w:asciiTheme="minorEastAsia" w:hAnsiTheme="minorEastAsia" w:cs="宋体" w:hint="eastAsia"/>
          <w:b/>
          <w:color w:val="000000"/>
          <w:kern w:val="0"/>
          <w:sz w:val="18"/>
          <w:szCs w:val="18"/>
        </w:rPr>
      </w:pPr>
      <w:r w:rsidRPr="002D684F">
        <w:rPr>
          <w:rFonts w:asciiTheme="minorEastAsia" w:hAnsiTheme="minorEastAsia" w:cs="宋体" w:hint="eastAsia"/>
          <w:b/>
          <w:bCs/>
          <w:color w:val="000000"/>
          <w:kern w:val="0"/>
          <w:sz w:val="18"/>
          <w:szCs w:val="18"/>
        </w:rPr>
        <w:t>1.艺术专科录取规则：</w:t>
      </w:r>
      <w:r w:rsidRPr="002D684F">
        <w:rPr>
          <w:rFonts w:asciiTheme="minorEastAsia" w:hAnsiTheme="minorEastAsia" w:cs="宋体" w:hint="eastAsia"/>
          <w:b/>
          <w:color w:val="000000"/>
          <w:kern w:val="0"/>
          <w:sz w:val="18"/>
          <w:szCs w:val="18"/>
        </w:rPr>
        <w:t>在文化课成绩和专业课成绩“双过线”的前提下，按照专业课成绩从高到低择优录取；专业课成绩相同的，按照文化课成绩从高到低择优录取（文化课成绩相同，依次按照语、数、外的单科成绩排序，从高到低，择优录取）</w:t>
      </w:r>
    </w:p>
    <w:p w:rsidR="000578C2" w:rsidRPr="002D684F" w:rsidRDefault="002D684F" w:rsidP="002D684F">
      <w:pPr>
        <w:snapToGrid w:val="0"/>
        <w:spacing w:line="240" w:lineRule="atLeast"/>
        <w:jc w:val="left"/>
      </w:pPr>
      <w:r w:rsidRPr="002D684F">
        <w:rPr>
          <w:rFonts w:hint="eastAsia"/>
          <w:b/>
        </w:rPr>
        <w:lastRenderedPageBreak/>
        <w:t>2.</w:t>
      </w:r>
      <w:r>
        <w:rPr>
          <w:rFonts w:hint="eastAsia"/>
          <w:b/>
        </w:rPr>
        <w:t xml:space="preserve"> 2019</w:t>
      </w:r>
      <w:r>
        <w:rPr>
          <w:rFonts w:hint="eastAsia"/>
          <w:b/>
        </w:rPr>
        <w:t>年省</w:t>
      </w:r>
      <w:r w:rsidRPr="002D684F">
        <w:rPr>
          <w:rFonts w:hint="eastAsia"/>
          <w:b/>
        </w:rPr>
        <w:t>控线</w:t>
      </w:r>
      <w:r>
        <w:rPr>
          <w:rFonts w:hint="eastAsia"/>
          <w:b/>
        </w:rPr>
        <w:t>：</w:t>
      </w:r>
      <w:r w:rsidRPr="002D684F">
        <w:rPr>
          <w:rFonts w:hint="eastAsia"/>
          <w:b/>
        </w:rPr>
        <w:t>高职高专为</w:t>
      </w:r>
      <w:r w:rsidRPr="002D684F">
        <w:rPr>
          <w:rFonts w:hint="eastAsia"/>
          <w:b/>
        </w:rPr>
        <w:t>160</w:t>
      </w:r>
      <w:r w:rsidRPr="002D684F">
        <w:rPr>
          <w:rFonts w:hint="eastAsia"/>
          <w:b/>
        </w:rPr>
        <w:t>分，艺术专科美术类省控线文化课为</w:t>
      </w:r>
      <w:r w:rsidRPr="002D684F">
        <w:rPr>
          <w:rFonts w:hint="eastAsia"/>
          <w:b/>
        </w:rPr>
        <w:t>160</w:t>
      </w:r>
      <w:r w:rsidRPr="002D684F">
        <w:rPr>
          <w:rFonts w:hint="eastAsia"/>
          <w:b/>
        </w:rPr>
        <w:t>分，专业课</w:t>
      </w:r>
      <w:r w:rsidRPr="002D684F">
        <w:rPr>
          <w:rFonts w:hint="eastAsia"/>
          <w:b/>
        </w:rPr>
        <w:t>175</w:t>
      </w:r>
      <w:r w:rsidRPr="002D684F">
        <w:rPr>
          <w:rFonts w:hint="eastAsia"/>
          <w:b/>
        </w:rPr>
        <w:t>分。</w:t>
      </w:r>
    </w:p>
    <w:sectPr w:rsidR="000578C2" w:rsidRPr="002D684F" w:rsidSect="000578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C1E" w:rsidRDefault="004F5C1E" w:rsidP="002D684F">
      <w:r>
        <w:separator/>
      </w:r>
    </w:p>
  </w:endnote>
  <w:endnote w:type="continuationSeparator" w:id="0">
    <w:p w:rsidR="004F5C1E" w:rsidRDefault="004F5C1E" w:rsidP="002D6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C1E" w:rsidRDefault="004F5C1E" w:rsidP="002D684F">
      <w:r>
        <w:separator/>
      </w:r>
    </w:p>
  </w:footnote>
  <w:footnote w:type="continuationSeparator" w:id="0">
    <w:p w:rsidR="004F5C1E" w:rsidRDefault="004F5C1E" w:rsidP="002D68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84F"/>
    <w:rsid w:val="000578C2"/>
    <w:rsid w:val="002D684F"/>
    <w:rsid w:val="004F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8C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D684F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8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8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84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D684F"/>
    <w:rPr>
      <w:rFonts w:asciiTheme="majorHAnsi" w:eastAsia="黑体" w:hAnsiTheme="majorHAnsi" w:cstheme="majorBidi"/>
      <w:b/>
      <w:bCs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2020-07-06T15:24:00Z</dcterms:created>
  <dcterms:modified xsi:type="dcterms:W3CDTF">2020-07-06T15:32:00Z</dcterms:modified>
</cp:coreProperties>
</file>