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4D" w:rsidRPr="00B22B8D" w:rsidRDefault="00BD794D" w:rsidP="00BD794D">
      <w:pPr>
        <w:autoSpaceDE w:val="0"/>
        <w:autoSpaceDN w:val="0"/>
        <w:adjustRightInd w:val="0"/>
        <w:jc w:val="left"/>
        <w:rPr>
          <w:rFonts w:ascii="仿宋_GB2312" w:eastAsia="仿宋_GB2312" w:cs="黑体"/>
          <w:sz w:val="28"/>
          <w:szCs w:val="28"/>
          <w:lang w:val="zh-CN"/>
        </w:rPr>
      </w:pPr>
      <w:r w:rsidRPr="00023145">
        <w:rPr>
          <w:rFonts w:ascii="黑体" w:eastAsia="黑体" w:cs="黑体" w:hint="eastAsia"/>
          <w:sz w:val="24"/>
          <w:lang w:val="zh-CN"/>
        </w:rPr>
        <w:t>附件2：</w:t>
      </w:r>
      <w:r>
        <w:rPr>
          <w:rFonts w:ascii="仿宋_GB2312" w:eastAsia="仿宋_GB2312" w:cs="方正小标宋简体" w:hint="eastAsia"/>
          <w:sz w:val="28"/>
          <w:szCs w:val="28"/>
          <w:lang w:val="zh-CN"/>
        </w:rPr>
        <w:t>河南省第十二</w:t>
      </w:r>
      <w:r w:rsidRPr="00B22B8D">
        <w:rPr>
          <w:rFonts w:ascii="仿宋_GB2312" w:eastAsia="仿宋_GB2312" w:cs="方正小标宋简体" w:hint="eastAsia"/>
          <w:sz w:val="28"/>
          <w:szCs w:val="28"/>
          <w:lang w:val="zh-CN"/>
        </w:rPr>
        <w:t>届高等学校师范教育专业毕业生教学技能大赛评分细则</w:t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080"/>
        <w:gridCol w:w="6121"/>
        <w:gridCol w:w="882"/>
      </w:tblGrid>
      <w:tr w:rsidR="00BD794D" w:rsidTr="00E645C2">
        <w:trPr>
          <w:trHeight w:val="950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项</w:t>
            </w:r>
            <w:r>
              <w:rPr>
                <w:rFonts w:ascii="黑体" w:eastAsia="黑体" w:cs="黑体"/>
                <w:sz w:val="24"/>
                <w:lang w:val="zh-CN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  <w:lang w:val="zh-CN"/>
              </w:rPr>
              <w:t>目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评分内容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分值</w:t>
            </w:r>
          </w:p>
        </w:tc>
      </w:tr>
      <w:tr w:rsidR="00BD794D" w:rsidTr="00E645C2">
        <w:trPr>
          <w:trHeight w:val="1290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说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理念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与目标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教学理念新，体现新课改精神；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教学目标明确、具体、全面、科学性、操作性强；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教学有特色。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15</w:t>
            </w:r>
          </w:p>
        </w:tc>
      </w:tr>
      <w:tr w:rsidR="00BD794D" w:rsidTr="00E645C2">
        <w:trPr>
          <w:trHeight w:val="129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内容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与过程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教学内容正确，知识层次结构合理；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教学思路清晰，结构严谨，重点明确，难点突出；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教学过程体现新课改的理念，有利于培养学生的创造意识和实践、动手能力，联系学生和生活实际。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15</w:t>
            </w:r>
          </w:p>
        </w:tc>
      </w:tr>
      <w:tr w:rsidR="00BD794D" w:rsidTr="00E645C2">
        <w:trPr>
          <w:trHeight w:val="129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方法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与手段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教学方法运用灵活、多样、具有启发性；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教学手段运用符合教学需要，设计合理；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学生有效参与教学。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15</w:t>
            </w:r>
          </w:p>
        </w:tc>
      </w:tr>
      <w:tr w:rsidR="00BD794D" w:rsidTr="00E645C2">
        <w:trPr>
          <w:trHeight w:val="129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教学基本素养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教态、仪表及语言得体、恰当。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15</w:t>
            </w:r>
          </w:p>
        </w:tc>
      </w:tr>
      <w:tr w:rsidR="00BD794D" w:rsidTr="00E645C2">
        <w:trPr>
          <w:trHeight w:val="129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粉笔字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书写格式标准、规范，字迹清楚、优美。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10</w:t>
            </w:r>
          </w:p>
        </w:tc>
      </w:tr>
      <w:tr w:rsidR="00BD794D" w:rsidTr="00E645C2">
        <w:trPr>
          <w:trHeight w:val="1290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答辩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紧扣主题、语言流畅、思路敏捷。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15</w:t>
            </w:r>
          </w:p>
        </w:tc>
      </w:tr>
      <w:tr w:rsidR="00BD794D" w:rsidTr="00E645C2">
        <w:trPr>
          <w:trHeight w:val="1291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特长展示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特长选项与教学活动紧密联系；</w:t>
            </w:r>
          </w:p>
          <w:p w:rsidR="00BD794D" w:rsidRDefault="00BD794D" w:rsidP="00E645C2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特长展示熟练，效果好。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4D" w:rsidRDefault="00BD794D" w:rsidP="00E645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15</w:t>
            </w:r>
          </w:p>
        </w:tc>
      </w:tr>
    </w:tbl>
    <w:p w:rsidR="00BD794D" w:rsidRPr="00153C16" w:rsidRDefault="00BD794D" w:rsidP="00BD794D">
      <w:pPr>
        <w:ind w:firstLine="480"/>
        <w:jc w:val="left"/>
        <w:rPr>
          <w:sz w:val="24"/>
        </w:rPr>
      </w:pPr>
    </w:p>
    <w:p w:rsidR="00764A9C" w:rsidRDefault="00764A9C"/>
    <w:sectPr w:rsidR="00764A9C" w:rsidSect="00B22B8D">
      <w:pgSz w:w="11906" w:h="16838"/>
      <w:pgMar w:top="851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A9C" w:rsidRDefault="00764A9C" w:rsidP="00BD794D">
      <w:r>
        <w:separator/>
      </w:r>
    </w:p>
  </w:endnote>
  <w:endnote w:type="continuationSeparator" w:id="1">
    <w:p w:rsidR="00764A9C" w:rsidRDefault="00764A9C" w:rsidP="00BD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A9C" w:rsidRDefault="00764A9C" w:rsidP="00BD794D">
      <w:r>
        <w:separator/>
      </w:r>
    </w:p>
  </w:footnote>
  <w:footnote w:type="continuationSeparator" w:id="1">
    <w:p w:rsidR="00764A9C" w:rsidRDefault="00764A9C" w:rsidP="00BD7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94D"/>
    <w:rsid w:val="00764A9C"/>
    <w:rsid w:val="00BD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9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2015-06-26T08:36:00Z</dcterms:created>
  <dcterms:modified xsi:type="dcterms:W3CDTF">2015-06-26T08:36:00Z</dcterms:modified>
</cp:coreProperties>
</file>