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河南师范大学博约通识教育实施方案</w:t>
      </w:r>
      <w:bookmarkEnd w:id="0"/>
    </w:p>
    <w:p>
      <w:pPr>
        <w:adjustRightInd w:val="0"/>
        <w:snapToGrid w:val="0"/>
        <w:spacing w:line="560" w:lineRule="exact"/>
        <w:jc w:val="center"/>
        <w:rPr>
          <w:rFonts w:ascii="仿宋" w:hAnsi="仿宋" w:eastAsia="仿宋"/>
          <w:color w:val="FF0000"/>
          <w:sz w:val="40"/>
          <w:szCs w:val="40"/>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实现通识教育课程“厚植爱国情怀、加强品德修养、坚定理想信念、提升人文素养、锤炼科学思维、扩展国际视野”的育人目标，打造能够彰显师大特色、适应时代需求的博约通识课程体系，制定本实施方案。</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一、指导思想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博约通识教育坚持以习近平新时代中国特色社会主义思想为指导，在原通识教育课程体系的基础上进行大幅度的改革和创新，重构通识课程、重造通识课堂、重建通识管理、重塑通识文化，着力培养大学生有效思考的能力、清晰沟通的能力、正确判断的能力和辨别价值的能力，将学生的知识、思想、精神与人格培养紧密结合，让学生在通识教育中悟出“何以成人”“何以知天”，以“成人”教育统领“成才”教育。</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二、博约通识课程体系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“博约”二字取自《论语》中“君子博学于文，约之以礼”和苏轼《稼说送张琥》中“博观而约取，厚积而薄发”。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博约通识课程体系包括“博约经典课程”“博约核心课程”和“博约百花课程”。</w:t>
      </w:r>
    </w:p>
    <w:p>
      <w:pPr>
        <w:spacing w:line="560" w:lineRule="exact"/>
        <w:ind w:firstLine="640" w:firstLineChars="200"/>
        <w:rPr>
          <w:rFonts w:ascii="楷体" w:hAnsi="楷体" w:eastAsia="楷体" w:cs="仿宋"/>
          <w:kern w:val="0"/>
          <w:sz w:val="32"/>
          <w:szCs w:val="32"/>
          <w:lang w:bidi="ar"/>
        </w:rPr>
      </w:pP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（一）博约经典课程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经典课程是基于中外经典著作导读、赏读、研读、阅读、选读而开设的课程。经典著作涵盖哲学、政治、历史、文学、地理、经济、教育、艺术等领域，其蕴含的深邃思想指引了古今中外人类社会的生存与发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博约经典课程旨在让学生穿行在历史时空中，读诸子百家，悟典籍精髓，与古圣先贤对话，博古通今，培养修身养性的智慧和经纶济世的思维。</w:t>
      </w: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（二）博约核心课程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核心课程旨在帮助学生洞悉科学发展、技术进步，审视民生百态、社会万象，培育审美素养、高雅情趣，砥砺教育情怀、师德修养，锻就身心健康、美丽人生，熔铸创新思维、创业精神，包容多元文化、异源文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博约核心课程注重结合实际案例，强调逻辑思维、形象思维、批判性思维、创造性思维等方面的训练。博约核心课程包括科学思维、社会人文、公共艺术、教师教育、健康人生、创新创业、国际视野7个模块。</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1.科学思维</w:t>
      </w:r>
      <w:r>
        <w:rPr>
          <w:rFonts w:hint="eastAsia" w:ascii="仿宋" w:hAnsi="仿宋" w:eastAsia="仿宋" w:cs="仿宋"/>
          <w:sz w:val="32"/>
          <w:szCs w:val="32"/>
        </w:rPr>
        <w:t>：科学思维是认知动机、认知行为、认知方式和认知品质的统一。该模块为学生掌握哲学、逻辑学、数学、自然科学和工程技术的思维方式而设立。通过该模块课程的学习，锤炼学生科学思维，使学生逐步建立对于人类自身和世界的科学态度，塑造理性批判、数理逻辑、科学探索和求实创新的精神。</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科学思维模块包括哲学、逻辑学、数学、自然科学、工程技术等学科专业的课程。</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2.社会人文</w:t>
      </w:r>
      <w:r>
        <w:rPr>
          <w:rFonts w:hint="eastAsia" w:ascii="仿宋" w:hAnsi="仿宋" w:eastAsia="仿宋" w:cs="仿宋"/>
          <w:sz w:val="32"/>
          <w:szCs w:val="32"/>
        </w:rPr>
        <w:t>：该模块旨在培养学生的社会素养和人文素养。社会素养主要指人与人交往的素养，人文素养主要指人与自我关系的素养。通过该模块课程的学习，让学生通古今、通文理、通知行，正确理解自己所生存的社会制度环境，及与他人之间的关系，并从学理上理解和建立自身的社会担当，学会认知，学会做事，学会合作，学会生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社会人文模块包括哲学、政治学、社会学、经济学、管理学、人类学、历史学、法学、文学、新闻学等课程。</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3.公共艺术</w:t>
      </w:r>
      <w:r>
        <w:rPr>
          <w:rFonts w:hint="eastAsia" w:ascii="仿宋" w:hAnsi="仿宋" w:eastAsia="仿宋" w:cs="仿宋"/>
          <w:sz w:val="32"/>
          <w:szCs w:val="32"/>
        </w:rPr>
        <w:t>：该模块旨在为学生提供经典的、体验式的和批判性的艺术审美教育，从多学科、跨学科、跨文化的角度，发展学生艺术审美能力和对文化表现形式的理解能力，培育博雅精神，引导学生发现美、欣赏美、创造美，以美通真，以美养善，成就美好人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公共艺术模块包括文学、美学、建筑、雕塑、书法、绘画、设计、摄影、音乐、舞蹈、戏剧、电影、艺术史等课程。</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4.教师教育</w:t>
      </w:r>
      <w:r>
        <w:rPr>
          <w:rFonts w:hint="eastAsia" w:ascii="仿宋" w:hAnsi="仿宋" w:eastAsia="仿宋" w:cs="仿宋"/>
          <w:sz w:val="32"/>
          <w:szCs w:val="32"/>
        </w:rPr>
        <w:t>：该模块旨在加强未来教师养成教育，立足培育未来教师的终身从教信念、职业精神、职业道德和人格魅力，涵养未来教师的教育情怀和仁爱之心，坚定以灵魂唤醒灵魂，以人格影响人格，以心灵感化心灵，以智慧启迪智慧的职业信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教师教育模块包括教师职业道德类、教师职业伦理类、优秀教师职业发展典型案例等课程。</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5.健康人生</w:t>
      </w:r>
      <w:r>
        <w:rPr>
          <w:rFonts w:hint="eastAsia" w:ascii="仿宋" w:hAnsi="仿宋" w:eastAsia="仿宋" w:cs="仿宋"/>
          <w:sz w:val="32"/>
          <w:szCs w:val="32"/>
        </w:rPr>
        <w:t>：该模块旨在培育学生自尊自信、理性平和、积极向上的健康心态，培养学生树立身心健康发展的自主意识，可以对自己的身体条件、心理状况、行为能力等进行客观评价，能够悦纳并不断完善自己，在遇到心理问题时能够进行自我调适或寻求帮助，积极探索适合自己并适应社会的生活状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健康人生模块包括心理健康、发展心理学、社会心理学、咨询心理学、人格心理学、实验心理学、体育运动等课程。</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6.创新创业</w:t>
      </w:r>
      <w:r>
        <w:rPr>
          <w:rFonts w:hint="eastAsia" w:ascii="仿宋" w:hAnsi="仿宋" w:eastAsia="仿宋" w:cs="仿宋"/>
          <w:sz w:val="32"/>
          <w:szCs w:val="32"/>
        </w:rPr>
        <w:t>：创新创业是社会发展的动力源泉，强调高阶认知和实际应用的结合，当前大学生群体普遍存在轻实践应用的倾向。该模块旨在培养学生的创新思维和创业精神，引导学生将专业知识运用于具体实践之中，同时提升学生沟通协作能力，增强社会责任感，培养主动适应社会与时代发展的创新创业人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创新创业模块以大学生职业规划、大学生就业指导等创新创业教育课程为主，可采用理论学习、案例教学、社会调查相结合的方式开展教学。</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7.国际视野</w:t>
      </w:r>
      <w:r>
        <w:rPr>
          <w:rFonts w:hint="eastAsia" w:ascii="仿宋" w:hAnsi="仿宋" w:eastAsia="仿宋" w:cs="仿宋"/>
          <w:sz w:val="32"/>
          <w:szCs w:val="32"/>
        </w:rPr>
        <w:t>：该模块旨在提升学生的跨文化交际能力，探索不同文明彼此沟通、相互体认的可能途径，发现文明之间实现知性对话的空间，使学生能以开放的精神、包容的态度去面对多元的文化，审视不同的文明、相左的观点和新生的思想，激励学生成长为优秀的世界公民，具备参与构建人类命运共同体的能力。</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国际视野模块包括国别文化、族群文化、国际关系、文化比较、跨文化交际及外国语言文学等方面的课程。</w:t>
      </w: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（三）博约百花课程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博约百花课程是从各教学单位开设的院级选修课程中遴选的、具有通识教育功能的课程。根据学科专业性质，博约百花课程分为自然科学、社会科学和人文科学3类。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博约百花课程旨在让学生通过跨学科专业的学习，深入了解乃至掌握主修学科专业以外其他学科专业的知识、思想和方法，获取人才培养的“宽度”。</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三、博约通识课程修读要求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博约通识课程修读不低于18学分。其中博约经典课程不低于4学分；博约核心课程不低于12学分（公共艺术模块不低于2学分、创新创业模块不低于2学分、健康人生模块不低于2学分）；博约百花课程不低于2学分。</w:t>
      </w:r>
    </w:p>
    <w:p>
      <w:pPr>
        <w:spacing w:line="560" w:lineRule="exact"/>
        <w:ind w:firstLine="640" w:firstLineChars="200"/>
        <w:rPr>
          <w:rFonts w:hint="eastAsia" w:ascii="仿宋" w:hAnsi="仿宋" w:eastAsia="仿宋" w:cs="仿宋"/>
          <w:kern w:val="0"/>
          <w:sz w:val="32"/>
          <w:szCs w:val="32"/>
          <w:lang w:bidi="ar"/>
        </w:rPr>
      </w:pPr>
      <w:r>
        <w:rPr>
          <w:rFonts w:hint="eastAsia" w:ascii="仿宋" w:hAnsi="仿宋" w:eastAsia="仿宋" w:cs="仿宋"/>
          <w:sz w:val="32"/>
          <w:szCs w:val="32"/>
        </w:rPr>
        <w:t>博约经典课程和博约核心课程各模块内的课程可任选，博约百花课程要求学生跨类别选修。</w:t>
      </w:r>
    </w:p>
    <w:p>
      <w:pPr>
        <w:spacing w:line="560" w:lineRule="exact"/>
        <w:ind w:firstLine="640" w:firstLineChars="200"/>
        <w:rPr>
          <w:rFonts w:hint="eastAsia" w:ascii="黑体" w:hAnsi="黑体" w:eastAsia="黑体" w:cs="仿宋"/>
          <w:kern w:val="0"/>
          <w:sz w:val="32"/>
          <w:szCs w:val="32"/>
          <w:lang w:bidi="ar"/>
        </w:rPr>
      </w:pPr>
      <w:r>
        <w:rPr>
          <w:rFonts w:hint="eastAsia" w:ascii="黑体" w:hAnsi="黑体" w:eastAsia="黑体" w:cs="仿宋"/>
          <w:sz w:val="32"/>
          <w:szCs w:val="32"/>
        </w:rPr>
        <w:t>四、博约通识课程管理</w:t>
      </w: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（一）遴选条件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lang w:bidi="ar"/>
        </w:rPr>
        <w:t>1.符合博约通识教育培养目标，有利于培养学生</w:t>
      </w:r>
      <w:r>
        <w:rPr>
          <w:rFonts w:hint="eastAsia" w:ascii="仿宋" w:hAnsi="仿宋" w:eastAsia="仿宋" w:cs="仿宋"/>
          <w:sz w:val="32"/>
          <w:szCs w:val="32"/>
        </w:rPr>
        <w:t>爱国情怀、品德修养、理想信念、人文素养、科学思维、国际视野，使学生具备思考、沟通、判断和辨别能力的课程；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2.有利于学生了解不同学科专业领域的基础知识和研究方法，学科专业交叉融合度较高的课程；</w:t>
      </w:r>
    </w:p>
    <w:p>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sz w:val="32"/>
          <w:szCs w:val="32"/>
        </w:rPr>
        <w:t>3.</w:t>
      </w:r>
      <w:r>
        <w:rPr>
          <w:rFonts w:hint="eastAsia" w:ascii="仿宋" w:hAnsi="仿宋" w:eastAsia="仿宋" w:cs="仿宋"/>
          <w:kern w:val="0"/>
          <w:sz w:val="32"/>
          <w:szCs w:val="32"/>
          <w:lang w:bidi="ar"/>
        </w:rPr>
        <w:t>申请的课程需要有完备的教学大纲、教案（课堂设计），课程目标能有效支撑通识教育目标。</w:t>
      </w: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（二）遴选程序</w:t>
      </w:r>
    </w:p>
    <w:p>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博约通识课程采取个人申报、教务处审核的方式遴选。</w:t>
      </w:r>
    </w:p>
    <w:p>
      <w:pPr>
        <w:spacing w:line="560" w:lineRule="exact"/>
        <w:ind w:firstLine="640" w:firstLineChars="200"/>
        <w:rPr>
          <w:rFonts w:hint="eastAsia" w:ascii="楷体" w:hAnsi="楷体" w:eastAsia="楷体" w:cs="仿宋"/>
          <w:kern w:val="0"/>
          <w:sz w:val="32"/>
          <w:szCs w:val="32"/>
          <w:lang w:bidi="ar"/>
        </w:rPr>
      </w:pPr>
      <w:r>
        <w:rPr>
          <w:rFonts w:hint="eastAsia" w:ascii="楷体" w:hAnsi="楷体" w:eastAsia="楷体" w:cs="仿宋"/>
          <w:kern w:val="0"/>
          <w:sz w:val="32"/>
          <w:szCs w:val="32"/>
          <w:lang w:bidi="ar"/>
        </w:rPr>
        <w:t>（三）课程管理</w:t>
      </w:r>
    </w:p>
    <w:p>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1.践行“学生中心”的人才培养理念，博约通识课程引入线上课程与线下课程竞争机制，给予学生选择的自由。</w:t>
      </w:r>
    </w:p>
    <w:p>
      <w:pPr>
        <w:widowControl/>
        <w:spacing w:line="560" w:lineRule="exact"/>
        <w:ind w:firstLine="640" w:firstLineChars="200"/>
        <w:jc w:val="lef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2.采用线上课程资源的，同步遴选线下指导教师，工作量减半计算。线下指导教师需提供课程指导方案。</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五、其他事项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本方案从2022级开始施行，由教务处负责解释。2021级参照执行。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8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2022-04-04T00:21:46Z</dcterms:created>
  <dc:creator>Administrator</dc:creator>
  <cp:lastModifiedBy>神经蛙</cp:lastModifiedBy>
  <dcterms:modified xsi:type="dcterms:W3CDTF">2022-04-04T00:22:02Z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86F2224FDCBC437EB538ED693BB136AC</vt:lpwstr>
  </property>
</Properties>
</file>