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80" w:rsidRDefault="00961209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国际教育学院</w:t>
      </w:r>
      <w:r w:rsidR="009B5F86">
        <w:rPr>
          <w:rFonts w:ascii="黑体" w:eastAsia="黑体" w:hint="eastAsia"/>
          <w:sz w:val="32"/>
          <w:szCs w:val="32"/>
        </w:rPr>
        <w:t>2020年</w:t>
      </w:r>
      <w:r>
        <w:rPr>
          <w:rFonts w:ascii="黑体" w:eastAsia="黑体" w:hint="eastAsia"/>
          <w:sz w:val="32"/>
          <w:szCs w:val="32"/>
        </w:rPr>
        <w:t>普通全日制本科生转专业管理暂行办法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根据《河南师范大学普通全日制本科生转专业暂行办法（修订）》（校字[2019]1号）和《河南师范大学</w:t>
      </w:r>
      <w:r w:rsidR="0013386F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年全日制普通本科生转专业工作的通知》相关规定，本着公开、公平、公正的原则，结合学院各专业特点，制定本办法。</w:t>
      </w:r>
    </w:p>
    <w:p w:rsidR="005B2080" w:rsidRDefault="00961209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一、申请转专业学生条件与要求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（一）凡申请转专业的本科生均应符合《河南师范大学普通全日制本科生转专业暂行办法（修订）》中的相关规定；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（二）入校以来，所有</w:t>
      </w:r>
      <w:proofErr w:type="gramStart"/>
      <w:r>
        <w:rPr>
          <w:rFonts w:ascii="仿宋_GB2312" w:eastAsia="仿宋_GB2312" w:hint="eastAsia"/>
          <w:sz w:val="32"/>
          <w:szCs w:val="32"/>
        </w:rPr>
        <w:t>课程初修成绩</w:t>
      </w:r>
      <w:proofErr w:type="gramEnd"/>
      <w:r>
        <w:rPr>
          <w:rFonts w:ascii="仿宋_GB2312" w:eastAsia="仿宋_GB2312" w:hint="eastAsia"/>
          <w:sz w:val="32"/>
          <w:szCs w:val="32"/>
        </w:rPr>
        <w:t>无不及格现象；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（三）鉴于各专业培养方案差异较大，目前仅接收</w:t>
      </w:r>
      <w:r w:rsidR="007934CF">
        <w:rPr>
          <w:rFonts w:ascii="仿宋_GB2312" w:eastAsia="仿宋_GB2312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级本科生的转专业申请；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（四）按学校要求在规定时间内提交转专业申请。</w:t>
      </w:r>
    </w:p>
    <w:p w:rsidR="005B2080" w:rsidRDefault="00961209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二、转专业学生人数</w:t>
      </w:r>
    </w:p>
    <w:p w:rsidR="005B2080" w:rsidRDefault="00961209">
      <w:pPr>
        <w:spacing w:line="360" w:lineRule="auto"/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（一）计划转出专业学生人数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转出专业的学生人数实行总量控制，转出学生人数法语专业不超过</w:t>
      </w:r>
      <w:r w:rsidR="00CA446B">
        <w:rPr>
          <w:rFonts w:ascii="仿宋_GB2312" w:eastAsia="仿宋_GB2312" w:hint="eastAsia"/>
          <w:bCs/>
          <w:sz w:val="32"/>
          <w:szCs w:val="32"/>
        </w:rPr>
        <w:t>15</w:t>
      </w:r>
      <w:r>
        <w:rPr>
          <w:rFonts w:ascii="仿宋_GB2312" w:eastAsia="仿宋_GB2312" w:hint="eastAsia"/>
          <w:bCs/>
          <w:sz w:val="32"/>
          <w:szCs w:val="32"/>
        </w:rPr>
        <w:t>人，经济学专业不超过</w:t>
      </w:r>
      <w:r w:rsidR="00CA446B">
        <w:rPr>
          <w:rFonts w:ascii="仿宋_GB2312" w:eastAsia="仿宋_GB2312" w:hint="eastAsia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人，电气工程及其自动化专业不超过</w:t>
      </w:r>
      <w:r w:rsidR="00CA446B">
        <w:rPr>
          <w:rFonts w:ascii="仿宋_GB2312" w:eastAsia="仿宋_GB2312" w:hint="eastAsia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人。</w:t>
      </w:r>
    </w:p>
    <w:p w:rsidR="005B2080" w:rsidRDefault="00961209">
      <w:pPr>
        <w:spacing w:line="360" w:lineRule="auto"/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（二）计划接收转入学生人数</w:t>
      </w:r>
    </w:p>
    <w:p w:rsidR="005B2080" w:rsidRPr="00CA446B" w:rsidRDefault="00961209" w:rsidP="00CA446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接收转入的学生人数法语专业不超过</w:t>
      </w:r>
      <w:r w:rsidR="00314411">
        <w:rPr>
          <w:rFonts w:ascii="仿宋_GB2312" w:eastAsia="仿宋_GB2312" w:hint="eastAsia"/>
          <w:bCs/>
          <w:sz w:val="32"/>
          <w:szCs w:val="32"/>
        </w:rPr>
        <w:t>10</w:t>
      </w:r>
      <w:r w:rsidR="00CA446B">
        <w:rPr>
          <w:rFonts w:ascii="仿宋_GB2312" w:eastAsia="仿宋_GB2312" w:hint="eastAsia"/>
          <w:bCs/>
          <w:sz w:val="32"/>
          <w:szCs w:val="32"/>
        </w:rPr>
        <w:t>人</w:t>
      </w:r>
      <w:proofErr w:type="gramStart"/>
      <w:r w:rsidR="00314411" w:rsidRPr="00314411">
        <w:rPr>
          <w:rFonts w:ascii="仿宋_GB2312" w:eastAsia="仿宋_GB2312" w:hint="eastAsia"/>
          <w:bCs/>
          <w:sz w:val="32"/>
          <w:szCs w:val="32"/>
        </w:rPr>
        <w:t>且专业</w:t>
      </w:r>
      <w:proofErr w:type="gramEnd"/>
      <w:r w:rsidR="00314411" w:rsidRPr="00314411">
        <w:rPr>
          <w:rFonts w:ascii="仿宋_GB2312" w:eastAsia="仿宋_GB2312" w:hint="eastAsia"/>
          <w:bCs/>
          <w:sz w:val="32"/>
          <w:szCs w:val="32"/>
        </w:rPr>
        <w:t>总人数不超过100人</w:t>
      </w:r>
      <w:r w:rsidR="00CA446B">
        <w:rPr>
          <w:rFonts w:ascii="仿宋_GB2312" w:eastAsia="仿宋_GB2312" w:hint="eastAsia"/>
          <w:bCs/>
          <w:sz w:val="32"/>
          <w:szCs w:val="32"/>
        </w:rPr>
        <w:t>；</w:t>
      </w:r>
      <w:r>
        <w:rPr>
          <w:rFonts w:ascii="仿宋_GB2312" w:eastAsia="仿宋_GB2312" w:hint="eastAsia"/>
          <w:bCs/>
          <w:sz w:val="32"/>
          <w:szCs w:val="32"/>
        </w:rPr>
        <w:t>电气工程及其自动化专业不超过</w:t>
      </w:r>
      <w:r w:rsidR="00314411">
        <w:rPr>
          <w:rFonts w:ascii="仿宋_GB2312" w:eastAsia="仿宋_GB2312" w:hint="eastAsia"/>
          <w:bCs/>
          <w:sz w:val="32"/>
          <w:szCs w:val="32"/>
        </w:rPr>
        <w:t>12人</w:t>
      </w:r>
      <w:proofErr w:type="gramStart"/>
      <w:r w:rsidR="00CA446B">
        <w:rPr>
          <w:rFonts w:ascii="仿宋_GB2312" w:eastAsia="仿宋_GB2312" w:hint="eastAsia"/>
          <w:bCs/>
          <w:sz w:val="32"/>
          <w:szCs w:val="32"/>
        </w:rPr>
        <w:t>且</w:t>
      </w:r>
      <w:r>
        <w:rPr>
          <w:rFonts w:ascii="仿宋_GB2312" w:eastAsia="仿宋_GB2312" w:hint="eastAsia"/>
          <w:sz w:val="32"/>
          <w:szCs w:val="32"/>
        </w:rPr>
        <w:t>专业</w:t>
      </w:r>
      <w:proofErr w:type="gramEnd"/>
      <w:r>
        <w:rPr>
          <w:rFonts w:ascii="仿宋_GB2312" w:eastAsia="仿宋_GB2312" w:hint="eastAsia"/>
          <w:sz w:val="32"/>
          <w:szCs w:val="32"/>
        </w:rPr>
        <w:t>总人数</w:t>
      </w:r>
      <w:r w:rsidR="00CA446B" w:rsidRPr="00314411">
        <w:rPr>
          <w:rFonts w:ascii="仿宋_GB2312" w:eastAsia="仿宋_GB2312" w:hint="eastAsia"/>
          <w:bCs/>
          <w:sz w:val="32"/>
          <w:szCs w:val="32"/>
        </w:rPr>
        <w:t>不超过</w:t>
      </w:r>
      <w:r w:rsidR="00314411"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人</w:t>
      </w:r>
      <w:r w:rsidR="00CA446B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经济学专业不超过</w:t>
      </w:r>
      <w:r w:rsidR="00314411">
        <w:rPr>
          <w:rFonts w:ascii="仿宋_GB2312" w:eastAsia="仿宋_GB2312" w:hint="eastAsia"/>
          <w:sz w:val="32"/>
          <w:szCs w:val="32"/>
        </w:rPr>
        <w:t>10</w:t>
      </w:r>
      <w:r w:rsidR="00CA446B">
        <w:rPr>
          <w:rFonts w:ascii="仿宋_GB2312" w:eastAsia="仿宋_GB2312" w:hint="eastAsia"/>
          <w:sz w:val="32"/>
          <w:szCs w:val="32"/>
        </w:rPr>
        <w:t>人</w:t>
      </w:r>
      <w:proofErr w:type="gramStart"/>
      <w:r w:rsidR="00CA446B" w:rsidRPr="00314411">
        <w:rPr>
          <w:rFonts w:ascii="仿宋_GB2312" w:eastAsia="仿宋_GB2312" w:hint="eastAsia"/>
          <w:bCs/>
          <w:sz w:val="32"/>
          <w:szCs w:val="32"/>
        </w:rPr>
        <w:t>且专业</w:t>
      </w:r>
      <w:proofErr w:type="gramEnd"/>
      <w:r w:rsidR="00CA446B" w:rsidRPr="00314411">
        <w:rPr>
          <w:rFonts w:ascii="仿宋_GB2312" w:eastAsia="仿宋_GB2312" w:hint="eastAsia"/>
          <w:bCs/>
          <w:sz w:val="32"/>
          <w:szCs w:val="32"/>
        </w:rPr>
        <w:lastRenderedPageBreak/>
        <w:t>总人数不超过</w:t>
      </w:r>
      <w:r w:rsidR="00CA446B">
        <w:rPr>
          <w:rFonts w:ascii="仿宋_GB2312" w:eastAsia="仿宋_GB2312" w:hint="eastAsia"/>
          <w:bCs/>
          <w:sz w:val="32"/>
          <w:szCs w:val="32"/>
        </w:rPr>
        <w:t>130</w:t>
      </w:r>
      <w:r w:rsidR="00CA446B" w:rsidRPr="00314411">
        <w:rPr>
          <w:rFonts w:ascii="仿宋_GB2312" w:eastAsia="仿宋_GB2312" w:hint="eastAsia"/>
          <w:bCs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2080" w:rsidRDefault="00961209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三、考核工作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（一）资格审核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我院成立考核工作小组，按照公平、公正、公开的原则，切实做好全日制普通本科生转专业学生考核录取工作。依照学校的相关文件要求，对申请学生进行审核。</w:t>
      </w:r>
    </w:p>
    <w:p w:rsidR="005B2080" w:rsidRDefault="00961209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转出程序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学院考核工作小组依照学校文件要求，对资格审核通过的学生，按照计划转出人数依所在专业所有课程平均成绩从高到低排名,确定拟转出学生名单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（三）转入程序</w:t>
      </w:r>
    </w:p>
    <w:p w:rsidR="005B2080" w:rsidRDefault="00961209"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转入学生成绩为综合成绩，由学业成绩占</w:t>
      </w:r>
      <w:r w:rsidR="009C7CEE"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0%和面试成绩占</w:t>
      </w:r>
      <w:r w:rsidR="009C7CEE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0%构成。学业成绩</w:t>
      </w:r>
      <w:r w:rsidR="004D46D4">
        <w:rPr>
          <w:rFonts w:ascii="仿宋_GB2312" w:eastAsia="仿宋_GB2312" w:hint="eastAsia"/>
          <w:bCs/>
          <w:sz w:val="32"/>
          <w:szCs w:val="32"/>
        </w:rPr>
        <w:t>以</w:t>
      </w:r>
      <w:r>
        <w:rPr>
          <w:rFonts w:ascii="仿宋_GB2312" w:eastAsia="仿宋_GB2312" w:hint="eastAsia"/>
          <w:bCs/>
          <w:sz w:val="32"/>
          <w:szCs w:val="32"/>
        </w:rPr>
        <w:t>入校以来</w:t>
      </w:r>
      <w:r w:rsidR="004D46D4">
        <w:rPr>
          <w:rFonts w:ascii="仿宋_GB2312" w:eastAsia="仿宋_GB2312" w:hint="eastAsia"/>
          <w:bCs/>
          <w:sz w:val="32"/>
          <w:szCs w:val="32"/>
        </w:rPr>
        <w:t>教务管理系统中导出的</w:t>
      </w:r>
      <w:r>
        <w:rPr>
          <w:rFonts w:ascii="仿宋_GB2312" w:eastAsia="仿宋_GB2312" w:hint="eastAsia"/>
          <w:bCs/>
          <w:sz w:val="32"/>
          <w:szCs w:val="32"/>
        </w:rPr>
        <w:t>所有课程的平均成绩</w:t>
      </w:r>
      <w:r w:rsidR="004D46D4">
        <w:rPr>
          <w:rFonts w:ascii="仿宋_GB2312" w:eastAsia="仿宋_GB2312" w:hint="eastAsia"/>
          <w:bCs/>
          <w:sz w:val="32"/>
          <w:szCs w:val="32"/>
        </w:rPr>
        <w:t>为准</w:t>
      </w:r>
      <w:r>
        <w:rPr>
          <w:rFonts w:ascii="仿宋_GB2312" w:eastAsia="仿宋_GB2312" w:hint="eastAsia"/>
          <w:bCs/>
          <w:sz w:val="32"/>
          <w:szCs w:val="32"/>
        </w:rPr>
        <w:t>，面试成绩由学院考核工作小组对申请转入学生进行考核，考核内容主要包括专业</w:t>
      </w:r>
      <w:r>
        <w:rPr>
          <w:rFonts w:ascii="仿宋_GB2312" w:eastAsia="仿宋_GB2312" w:hint="eastAsia"/>
          <w:sz w:val="32"/>
          <w:szCs w:val="32"/>
        </w:rPr>
        <w:t>素养、表达能力和综合素质等。根据学生综合成绩排名，按各专业转入计划数确定拟转入学生名单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5B2080" w:rsidRDefault="00961209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四、其他说明</w:t>
      </w:r>
    </w:p>
    <w:p w:rsidR="005B2080" w:rsidRDefault="009612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具体面试时间、地点将另行通知。</w:t>
      </w:r>
    </w:p>
    <w:p w:rsidR="005B2080" w:rsidRDefault="00961209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五、本办法由国际教育学院负责解释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5B2080" w:rsidRDefault="005B2080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B2080" w:rsidRDefault="00961209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        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>河南师范大学国际教育学院</w:t>
      </w:r>
    </w:p>
    <w:p w:rsidR="005B2080" w:rsidRDefault="00961209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</w:t>
      </w:r>
      <w:r w:rsidR="00AE022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AE022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E022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B2080" w:rsidSect="0094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6E" w:rsidRDefault="00A2726E" w:rsidP="00872F5B">
      <w:r>
        <w:separator/>
      </w:r>
    </w:p>
  </w:endnote>
  <w:endnote w:type="continuationSeparator" w:id="1">
    <w:p w:rsidR="00A2726E" w:rsidRDefault="00A2726E" w:rsidP="00872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6E" w:rsidRDefault="00A2726E" w:rsidP="00872F5B">
      <w:r>
        <w:separator/>
      </w:r>
    </w:p>
  </w:footnote>
  <w:footnote w:type="continuationSeparator" w:id="1">
    <w:p w:rsidR="00A2726E" w:rsidRDefault="00A2726E" w:rsidP="00872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CC1C"/>
    <w:multiLevelType w:val="singleLevel"/>
    <w:tmpl w:val="0C09CC1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5EAE"/>
    <w:rsid w:val="000F6C55"/>
    <w:rsid w:val="0013386F"/>
    <w:rsid w:val="001E30DD"/>
    <w:rsid w:val="00255EEC"/>
    <w:rsid w:val="002C5A58"/>
    <w:rsid w:val="00314411"/>
    <w:rsid w:val="004B4AE0"/>
    <w:rsid w:val="004D46D4"/>
    <w:rsid w:val="005B2080"/>
    <w:rsid w:val="00735EAE"/>
    <w:rsid w:val="007934CF"/>
    <w:rsid w:val="00872F5B"/>
    <w:rsid w:val="00941FEF"/>
    <w:rsid w:val="00961209"/>
    <w:rsid w:val="009B5F86"/>
    <w:rsid w:val="009C7CEE"/>
    <w:rsid w:val="00A2726E"/>
    <w:rsid w:val="00AE0226"/>
    <w:rsid w:val="00BE3333"/>
    <w:rsid w:val="00CA446B"/>
    <w:rsid w:val="00CD5897"/>
    <w:rsid w:val="0F175524"/>
    <w:rsid w:val="0F2671D9"/>
    <w:rsid w:val="137969C6"/>
    <w:rsid w:val="1E966352"/>
    <w:rsid w:val="1FCF5F1B"/>
    <w:rsid w:val="235E08D8"/>
    <w:rsid w:val="23AE437D"/>
    <w:rsid w:val="28650718"/>
    <w:rsid w:val="379969DD"/>
    <w:rsid w:val="398803D4"/>
    <w:rsid w:val="3B733F85"/>
    <w:rsid w:val="51230D40"/>
    <w:rsid w:val="59D43F3F"/>
    <w:rsid w:val="604F641A"/>
    <w:rsid w:val="643944BC"/>
    <w:rsid w:val="66091FEF"/>
    <w:rsid w:val="669C0119"/>
    <w:rsid w:val="68C80F6F"/>
    <w:rsid w:val="6AA22022"/>
    <w:rsid w:val="6AC954E2"/>
    <w:rsid w:val="6C376220"/>
    <w:rsid w:val="73646A02"/>
    <w:rsid w:val="7B8D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41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4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1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941FEF"/>
    <w:rPr>
      <w:color w:val="686868"/>
      <w:sz w:val="21"/>
      <w:szCs w:val="21"/>
      <w:u w:val="none"/>
    </w:rPr>
  </w:style>
  <w:style w:type="character" w:styleId="a8">
    <w:name w:val="Hyperlink"/>
    <w:basedOn w:val="a0"/>
    <w:uiPriority w:val="99"/>
    <w:semiHidden/>
    <w:unhideWhenUsed/>
    <w:qFormat/>
    <w:rsid w:val="00941FEF"/>
    <w:rPr>
      <w:color w:val="686868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qFormat/>
    <w:rsid w:val="00941F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1FEF"/>
    <w:rPr>
      <w:sz w:val="18"/>
      <w:szCs w:val="18"/>
    </w:rPr>
  </w:style>
  <w:style w:type="paragraph" w:customStyle="1" w:styleId="1">
    <w:name w:val="标题1"/>
    <w:basedOn w:val="a"/>
    <w:qFormat/>
    <w:rsid w:val="00941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941FE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41FEF"/>
    <w:rPr>
      <w:sz w:val="18"/>
      <w:szCs w:val="18"/>
    </w:rPr>
  </w:style>
  <w:style w:type="character" w:customStyle="1" w:styleId="item-name">
    <w:name w:val="item-name"/>
    <w:basedOn w:val="a0"/>
    <w:qFormat/>
    <w:rsid w:val="00941FEF"/>
  </w:style>
  <w:style w:type="character" w:customStyle="1" w:styleId="item-name1">
    <w:name w:val="item-name1"/>
    <w:basedOn w:val="a0"/>
    <w:qFormat/>
    <w:rsid w:val="00941FEF"/>
  </w:style>
  <w:style w:type="character" w:customStyle="1" w:styleId="bsharetext">
    <w:name w:val="bsharetext"/>
    <w:basedOn w:val="a0"/>
    <w:qFormat/>
    <w:rsid w:val="00941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686868"/>
      <w:sz w:val="21"/>
      <w:szCs w:val="21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686868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</Words>
  <Characters>759</Characters>
  <Application>Microsoft Office Word</Application>
  <DocSecurity>0</DocSecurity>
  <Lines>6</Lines>
  <Paragraphs>1</Paragraphs>
  <ScaleCrop>false</ScaleCrop>
  <Company>联想电脑有限公司（北京）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联想电脑</dc:creator>
  <cp:lastModifiedBy>Administrator</cp:lastModifiedBy>
  <cp:revision>12</cp:revision>
  <cp:lastPrinted>2019-02-28T00:52:00Z</cp:lastPrinted>
  <dcterms:created xsi:type="dcterms:W3CDTF">2020-09-09T02:08:00Z</dcterms:created>
  <dcterms:modified xsi:type="dcterms:W3CDTF">2020-09-11T03:05:00Z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