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40" w:lineRule="exact"/>
        <w:ind w:right="6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附件1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40" w:lineRule="exact"/>
        <w:jc w:val="center"/>
        <w:textAlignment w:val="baseline"/>
        <w:rPr>
          <w:rFonts w:hint="eastAsia" w:ascii="宋体" w:hAnsi="宋体" w:eastAsia="宋体" w:cs="宋体"/>
          <w:b/>
          <w:bCs w:val="0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napToGrid w:val="0"/>
          <w:kern w:val="0"/>
          <w:sz w:val="24"/>
          <w:szCs w:val="24"/>
        </w:rPr>
        <w:t>“学生思想引领能力提升”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40" w:lineRule="exact"/>
        <w:jc w:val="center"/>
        <w:textAlignment w:val="baseline"/>
        <w:rPr>
          <w:rFonts w:hint="eastAsia" w:ascii="宋体" w:hAnsi="宋体" w:eastAsia="宋体" w:cs="宋体"/>
          <w:b/>
          <w:bCs w:val="0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napToGrid w:val="0"/>
          <w:kern w:val="0"/>
          <w:sz w:val="24"/>
          <w:szCs w:val="24"/>
        </w:rPr>
        <w:t>专题培训班名额分配表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1256" w:hanging="1256"/>
        <w:jc w:val="center"/>
        <w:textAlignment w:val="baseline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河南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师范大学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中心  120人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）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1256" w:hanging="1256"/>
        <w:jc w:val="center"/>
        <w:textAlignment w:val="baseline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1256" w:hanging="1256"/>
        <w:jc w:val="left"/>
        <w:textAlignment w:val="baseline"/>
        <w:rPr>
          <w:rFonts w:hint="eastAsia" w:ascii="宋体" w:hAnsi="宋体" w:eastAsia="宋体" w:cs="宋体"/>
          <w:b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snapToGrid w:val="0"/>
          <w:kern w:val="0"/>
          <w:sz w:val="24"/>
          <w:szCs w:val="24"/>
        </w:rPr>
        <w:t>部属高校及部省合建高校名额分配（每所高校1个名额）：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00" w:lineRule="exact"/>
        <w:jc w:val="left"/>
        <w:textAlignment w:val="baseline"/>
        <w:rPr>
          <w:rFonts w:hint="eastAsia" w:ascii="宋体" w:hAnsi="宋体" w:eastAsia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北京大学、清华大学、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北京师范大学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、中国农业大学、北京航空航天大学、北京理工大学、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中央民族大学、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北京外国语大学、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北京语言大学、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北京科技大学、北京化工大学、北京交通大学、北京邮电大学、中国地质大学（北京）、北京林业大学、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中国传媒大学、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中国政法大学、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中央音乐学院、中央戏剧学院、中央美术学院、对外经济贸易大学、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华北电力大学、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北京体育大学、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南开大学、天津大学、东北大学、吉林大学、东北师范大学、哈尔滨工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业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大学、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东北林业大学、哈尔滨工程大学、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复旦大学、上海交通大学、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华东理工大学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、东华大学、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华东师范大学、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上海外国语大学、南京大学、东南大学、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中国矿业大学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、南京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农业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大学、南京航空航天大学、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中国科学技术大学、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浙江大学、山东大学、中国海洋大学、中国石油大学（华东）、华中科技大学、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中国地质大学（武汉）、武汉理工大学、华中师范大学、华中农业大学、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中南财经政法大学、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湖南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大学、中山大学、重庆大学、四川大学、西南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民族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大学、西北农林科技大学、陕西师范大学、长安大学、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郑州大学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河北大学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山西大学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、南昌大学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、暨南大学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500" w:lineRule="exact"/>
        <w:ind w:left="1256" w:hanging="1256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省属高校名额分配：</w:t>
      </w:r>
    </w:p>
    <w:tbl>
      <w:tblPr>
        <w:tblStyle w:val="2"/>
        <w:tblW w:w="85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423"/>
        <w:gridCol w:w="1423"/>
        <w:gridCol w:w="1423"/>
        <w:gridCol w:w="1423"/>
        <w:gridCol w:w="14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省  份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名  额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省  份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名  额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省  份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名  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四川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天津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福建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贵州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河北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江西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云南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山西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山东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西藏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河南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陕西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辽宁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湖北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甘肃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湖南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青海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广东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宁夏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上海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广西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新疆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江苏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海南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兵团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浙江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重庆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400" w:lineRule="exact"/>
        <w:ind w:left="1256" w:hanging="1256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xY2YwZGM2ZmY1OTQ2MTVlM2FiZDY0MmRjNTI0OTgifQ=="/>
  </w:docVars>
  <w:rsids>
    <w:rsidRoot w:val="4DA47549"/>
    <w:rsid w:val="060914B4"/>
    <w:rsid w:val="4DA4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627</Words>
  <Characters>629</Characters>
  <Lines>0</Lines>
  <Paragraphs>0</Paragraphs>
  <TotalTime>2</TotalTime>
  <ScaleCrop>false</ScaleCrop>
  <LinksUpToDate>false</LinksUpToDate>
  <CharactersWithSpaces>643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2023-07-11T14:53:00Z</dcterms:created>
  <dc:creator>汤圆圆～</dc:creator>
  <cp:lastModifiedBy>汤圆圆～</cp:lastModifiedBy>
  <dcterms:modified xsi:type="dcterms:W3CDTF">2023-07-11T15:00:49Z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1E0B7BF21B0C437CA33A242F6F900601_11</vt:lpwstr>
  </property>
</Properties>
</file>