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ABAA2">
      <w:pPr>
        <w:spacing w:before="139" w:line="211" w:lineRule="auto"/>
        <w:jc w:val="left"/>
        <w:rPr>
          <w:rFonts w:hint="default" w:asciiTheme="majorEastAsia" w:hAnsiTheme="majorEastAsia" w:eastAsiaTheme="majorEastAsia" w:cstheme="majorEastAsia"/>
          <w:b/>
          <w:bCs/>
          <w:spacing w:val="5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0"/>
          <w:szCs w:val="30"/>
          <w:lang w:val="en-US" w:eastAsia="zh-CN"/>
        </w:rPr>
        <w:t>附件3</w:t>
      </w:r>
    </w:p>
    <w:p w14:paraId="367A1508">
      <w:pPr>
        <w:widowControl/>
        <w:kinsoku w:val="0"/>
        <w:autoSpaceDE w:val="0"/>
        <w:autoSpaceDN w:val="0"/>
        <w:adjustRightInd w:val="0"/>
        <w:snapToGrid w:val="0"/>
        <w:spacing w:before="140" w:line="211" w:lineRule="auto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  <w:t>第四届全国大学生职业规划大赛</w:t>
      </w:r>
    </w:p>
    <w:p w14:paraId="129D0F73">
      <w:pPr>
        <w:widowControl/>
        <w:kinsoku w:val="0"/>
        <w:autoSpaceDE w:val="0"/>
        <w:autoSpaceDN w:val="0"/>
        <w:adjustRightInd w:val="0"/>
        <w:snapToGrid w:val="0"/>
        <w:spacing w:before="140" w:line="211" w:lineRule="auto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eastAsia="en-US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  <w:t xml:space="preserve">河南省赛成长赛道实施方案 </w:t>
      </w:r>
    </w:p>
    <w:p w14:paraId="488BB1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黑体" w:hAnsi="黑体" w:eastAsia="黑体" w:cs="黑体"/>
          <w:spacing w:val="5"/>
          <w:sz w:val="30"/>
          <w:szCs w:val="30"/>
        </w:rPr>
      </w:pPr>
      <w:r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  <w:t xml:space="preserve">一、比赛内容 </w:t>
      </w:r>
    </w:p>
    <w:p w14:paraId="7747052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考察学生树立生涯发展理念并合理设定职业目标、围绕实现目标持续行动并不断调整的成长过程，通过学习实践提升综合素质和专业能力，体现正确的择业就业观念。参赛学生可获得实习机会。 </w:t>
      </w:r>
    </w:p>
    <w:p w14:paraId="7A63B1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黑体" w:hAnsi="黑体" w:eastAsia="黑体" w:cs="黑体"/>
          <w:spacing w:val="5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  <w:t xml:space="preserve">二、参赛组别和对象 </w:t>
      </w:r>
    </w:p>
    <w:p w14:paraId="74E59FE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成长赛道设高教组和职教组，参赛对象为普通高等学校全日制本、专科非毕业年级在校学生。高教组主要面向普通本科非毕业年级学生，职教组主要面向职教本科、高职（专科）非毕业年级学生。 </w:t>
      </w:r>
    </w:p>
    <w:p w14:paraId="59B99E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黑体" w:hAnsi="黑体" w:eastAsia="黑体" w:cs="黑体"/>
          <w:spacing w:val="5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  <w:t xml:space="preserve">三、参赛材料要求 </w:t>
      </w:r>
    </w:p>
    <w:p w14:paraId="453816F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选手在大赛平台（网址：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zgs.chsi.com.cn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）提交以下参赛材料： </w:t>
      </w:r>
    </w:p>
    <w:p w14:paraId="38B3B50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（一）生涯发展报告：介绍设定职业目标的过程；实现职业目标的具体行动和成效；职业目标及行动的动态调整等（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PDF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格式，不超过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10MB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，文字不超过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2000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字，图表不超过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张）。 </w:t>
      </w:r>
    </w:p>
    <w:p w14:paraId="6BBB4C8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（二）生涯发展展示（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PPT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格式，不超过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50MB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）。 </w:t>
      </w:r>
    </w:p>
    <w:p w14:paraId="598D60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黑体" w:hAnsi="黑体" w:eastAsia="黑体" w:cs="黑体"/>
          <w:spacing w:val="5"/>
          <w:sz w:val="30"/>
          <w:szCs w:val="30"/>
          <w:lang w:val="en-US" w:eastAsia="en-US"/>
        </w:rPr>
      </w:pPr>
      <w:r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  <w:t xml:space="preserve">四、比赛环节 </w:t>
      </w:r>
    </w:p>
    <w:p w14:paraId="0A7FDA7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成长赛道设主题陈述、评委提问和天降实习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offer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（实习意向）环节。各环节根据实际情况可适当调整。 </w:t>
      </w:r>
    </w:p>
    <w:p w14:paraId="58873FFB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（一）主题陈述（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分钟）：选手结合生涯发展报告作陈述。 </w:t>
      </w:r>
    </w:p>
    <w:p w14:paraId="1CFE165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（二）评委提问（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分钟）：评委结合选手陈述和现场表现提问。 </w:t>
      </w:r>
    </w:p>
    <w:p w14:paraId="1BFF33E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（三）天降实习 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offer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2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分钟）：用人单位根据选手表现，决定是否给出实习意向，并对选手作点评。</w:t>
      </w:r>
    </w:p>
    <w:p w14:paraId="3BA171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20" w:firstLineChars="200"/>
        <w:textAlignment w:val="baseline"/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5"/>
          <w:sz w:val="30"/>
          <w:szCs w:val="30"/>
          <w:lang w:val="en-US" w:eastAsia="zh-CN"/>
        </w:rPr>
        <w:t>五、评审标准</w:t>
      </w:r>
    </w:p>
    <w:p w14:paraId="46074C99">
      <w:pPr>
        <w:spacing w:line="139" w:lineRule="exact"/>
      </w:pPr>
    </w:p>
    <w:tbl>
      <w:tblPr>
        <w:tblStyle w:val="7"/>
        <w:tblW w:w="9463" w:type="dxa"/>
        <w:tblInd w:w="-3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5290"/>
        <w:gridCol w:w="928"/>
        <w:gridCol w:w="1964"/>
      </w:tblGrid>
      <w:tr w14:paraId="6F56F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81" w:type="dxa"/>
            <w:tcBorders>
              <w:bottom w:val="single" w:color="auto" w:sz="4" w:space="0"/>
            </w:tcBorders>
            <w:vAlign w:val="top"/>
          </w:tcPr>
          <w:p w14:paraId="6C84D039">
            <w:pPr>
              <w:spacing w:before="120" w:line="231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指标</w:t>
            </w:r>
          </w:p>
        </w:tc>
        <w:tc>
          <w:tcPr>
            <w:tcW w:w="5290" w:type="dxa"/>
            <w:tcBorders>
              <w:bottom w:val="single" w:color="auto" w:sz="4" w:space="0"/>
            </w:tcBorders>
            <w:vAlign w:val="top"/>
          </w:tcPr>
          <w:p w14:paraId="43D0EA76">
            <w:pPr>
              <w:spacing w:before="120" w:line="229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说明</w:t>
            </w:r>
          </w:p>
        </w:tc>
        <w:tc>
          <w:tcPr>
            <w:tcW w:w="928" w:type="dxa"/>
            <w:tcBorders>
              <w:bottom w:val="single" w:color="auto" w:sz="4" w:space="0"/>
            </w:tcBorders>
            <w:vAlign w:val="top"/>
          </w:tcPr>
          <w:p w14:paraId="00D1072D">
            <w:pPr>
              <w:spacing w:before="121" w:line="23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分值</w:t>
            </w:r>
          </w:p>
        </w:tc>
        <w:tc>
          <w:tcPr>
            <w:tcW w:w="1964" w:type="dxa"/>
            <w:vAlign w:val="top"/>
          </w:tcPr>
          <w:p w14:paraId="43C2CEF7">
            <w:pPr>
              <w:spacing w:before="121" w:line="230" w:lineRule="auto"/>
              <w:jc w:val="center"/>
              <w:rPr>
                <w:rFonts w:hint="default" w:ascii="仿宋_GB2312" w:hAnsi="仿宋_GB2312" w:eastAsia="仿宋_GB2312" w:cs="仿宋_GB2312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  <w:lang w:val="en-US" w:eastAsia="zh-CN"/>
              </w:rPr>
              <w:t>萌芽组建议分值</w:t>
            </w:r>
          </w:p>
        </w:tc>
      </w:tr>
      <w:tr w14:paraId="5A951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2676B">
            <w:pPr>
              <w:pStyle w:val="8"/>
              <w:spacing w:before="75" w:line="22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职业目标</w:t>
            </w:r>
          </w:p>
        </w:tc>
        <w:tc>
          <w:tcPr>
            <w:tcW w:w="5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32AB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8" w:lineRule="auto"/>
              <w:ind w:left="0" w:right="0" w:firstLine="512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职业目标能够将个人理想与国家需要、经济社会发展相结合，体现正确的择业就业观念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410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</w:tcBorders>
            <w:vAlign w:val="center"/>
          </w:tcPr>
          <w:p w14:paraId="139C814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50</w:t>
            </w:r>
          </w:p>
        </w:tc>
      </w:tr>
      <w:tr w14:paraId="63E9D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82B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B7961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 w:right="0" w:firstLine="512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结合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学科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多渠道了解相关行业发展趋势和就业市场需求，综合分析个人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价值追求、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能力优势、兴趣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偏好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等，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确定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职业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发展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方向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或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目标</w:t>
            </w: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2E06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</w:tcBorders>
            <w:vAlign w:val="center"/>
          </w:tcPr>
          <w:p w14:paraId="3E866F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BB1E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1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ED02">
            <w:pPr>
              <w:pStyle w:val="8"/>
              <w:spacing w:before="74" w:line="251" w:lineRule="auto"/>
              <w:ind w:right="13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学习实践行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动</w:t>
            </w:r>
          </w:p>
        </w:tc>
        <w:tc>
          <w:tcPr>
            <w:tcW w:w="52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BF475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 w:right="0" w:firstLine="512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基于职业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发展方向或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目标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的能力特征和要求，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科学分析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差距，制定合理可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行的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val="en-US" w:eastAsia="zh-CN"/>
              </w:rPr>
              <w:t>学习、实践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计划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C93D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50</w:t>
            </w:r>
          </w:p>
        </w:tc>
        <w:tc>
          <w:tcPr>
            <w:tcW w:w="1964" w:type="dxa"/>
            <w:vMerge w:val="restart"/>
            <w:tcBorders>
              <w:left w:val="single" w:color="auto" w:sz="4" w:space="0"/>
            </w:tcBorders>
            <w:vAlign w:val="center"/>
          </w:tcPr>
          <w:p w14:paraId="6AC2386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</w:tr>
      <w:tr w14:paraId="26166D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C35CC">
            <w:pPr>
              <w:pStyle w:val="8"/>
              <w:spacing w:before="74" w:line="251" w:lineRule="auto"/>
              <w:ind w:right="13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9BEA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0" w:lineRule="auto"/>
              <w:ind w:left="0" w:right="0" w:firstLine="512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结合学校育人特色和所学专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业，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  <w:lang w:val="en-US" w:eastAsia="zh-CN"/>
              </w:rPr>
              <w:t>充分挖掘、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利用学校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社会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等各种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资源开展学习实践</w:t>
            </w: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2C1D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</w:tcBorders>
            <w:vAlign w:val="center"/>
          </w:tcPr>
          <w:p w14:paraId="10F3D19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BCCA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128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A4F8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firstLine="476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学习实践行动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lang w:val="en-US" w:eastAsia="zh-CN"/>
              </w:rPr>
              <w:t>中克服困难、灵活应变、积极进取，</w:t>
            </w: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取得阶段性成果</w:t>
            </w:r>
          </w:p>
        </w:tc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FA0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64" w:type="dxa"/>
            <w:vMerge w:val="continue"/>
            <w:tcBorders>
              <w:left w:val="single" w:color="auto" w:sz="4" w:space="0"/>
            </w:tcBorders>
            <w:vAlign w:val="center"/>
          </w:tcPr>
          <w:p w14:paraId="2D984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82F2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281" w:type="dxa"/>
            <w:vMerge w:val="restart"/>
            <w:tcBorders>
              <w:top w:val="single" w:color="auto" w:sz="4" w:space="0"/>
            </w:tcBorders>
            <w:vAlign w:val="center"/>
          </w:tcPr>
          <w:p w14:paraId="416CE365">
            <w:pPr>
              <w:pStyle w:val="8"/>
              <w:spacing w:before="75" w:line="221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优化改进</w:t>
            </w:r>
          </w:p>
        </w:tc>
        <w:tc>
          <w:tcPr>
            <w:tcW w:w="5290" w:type="dxa"/>
            <w:vAlign w:val="center"/>
          </w:tcPr>
          <w:p w14:paraId="5B3BC39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left="0" w:right="0" w:firstLine="508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及时对学习实践行动成效进行自我评估和反思，总结分析收获、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不足和原因</w:t>
            </w:r>
          </w:p>
        </w:tc>
        <w:tc>
          <w:tcPr>
            <w:tcW w:w="928" w:type="dxa"/>
            <w:vMerge w:val="restart"/>
            <w:tcBorders>
              <w:top w:val="single" w:color="auto" w:sz="4" w:space="0"/>
            </w:tcBorders>
            <w:vAlign w:val="center"/>
          </w:tcPr>
          <w:p w14:paraId="4AC506F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964" w:type="dxa"/>
            <w:vMerge w:val="restart"/>
            <w:vAlign w:val="center"/>
          </w:tcPr>
          <w:p w14:paraId="2BF0C1F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</w:tr>
      <w:tr w14:paraId="70D23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281" w:type="dxa"/>
            <w:vMerge w:val="continue"/>
            <w:tcBorders/>
            <w:vAlign w:val="center"/>
          </w:tcPr>
          <w:p w14:paraId="049021C0">
            <w:pPr>
              <w:pStyle w:val="8"/>
              <w:spacing w:before="75" w:line="221" w:lineRule="auto"/>
              <w:jc w:val="center"/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</w:pPr>
          </w:p>
        </w:tc>
        <w:tc>
          <w:tcPr>
            <w:tcW w:w="5290" w:type="dxa"/>
            <w:vAlign w:val="center"/>
          </w:tcPr>
          <w:p w14:paraId="5EFF6E4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5" w:lineRule="auto"/>
              <w:ind w:left="0" w:right="0" w:firstLine="512" w:firstLineChars="200"/>
              <w:jc w:val="both"/>
              <w:textAlignment w:val="baseline"/>
              <w:rPr>
                <w:rFonts w:hint="default" w:ascii="仿宋_GB2312" w:hAnsi="仿宋_GB2312" w:eastAsia="仿宋_GB2312" w:cs="仿宋_GB2312"/>
                <w:spacing w:val="7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在成长过程中对职业目标和学习实践行动路径进行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动态优化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通过积极行动应对变化和挑战</w:t>
            </w:r>
            <w:bookmarkStart w:id="0" w:name="_GoBack"/>
            <w:bookmarkEnd w:id="0"/>
          </w:p>
        </w:tc>
        <w:tc>
          <w:tcPr>
            <w:tcW w:w="928" w:type="dxa"/>
            <w:vMerge w:val="continue"/>
            <w:tcBorders/>
            <w:vAlign w:val="center"/>
          </w:tcPr>
          <w:p w14:paraId="440F02B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4" w:type="dxa"/>
            <w:vMerge w:val="continue"/>
            <w:tcBorders/>
            <w:vAlign w:val="center"/>
          </w:tcPr>
          <w:p w14:paraId="40F3590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FF68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81" w:type="dxa"/>
            <w:vAlign w:val="center"/>
          </w:tcPr>
          <w:p w14:paraId="32F79D67">
            <w:pPr>
              <w:pStyle w:val="8"/>
              <w:spacing w:before="212" w:line="225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总分</w:t>
            </w:r>
          </w:p>
        </w:tc>
        <w:tc>
          <w:tcPr>
            <w:tcW w:w="5290" w:type="dxa"/>
            <w:vAlign w:val="top"/>
          </w:tcPr>
          <w:p w14:paraId="6FAF41BA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50DCA6B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100</w:t>
            </w:r>
          </w:p>
        </w:tc>
        <w:tc>
          <w:tcPr>
            <w:tcW w:w="1964" w:type="dxa"/>
            <w:vAlign w:val="center"/>
          </w:tcPr>
          <w:p w14:paraId="2F6C661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100</w:t>
            </w:r>
          </w:p>
        </w:tc>
      </w:tr>
    </w:tbl>
    <w:p w14:paraId="39CE5727">
      <w:pPr>
        <w:rPr>
          <w:sz w:val="24"/>
          <w:szCs w:val="24"/>
        </w:rPr>
      </w:pPr>
    </w:p>
    <w:p w14:paraId="5C629F9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955F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A9672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A9672">
                    <w:pPr>
                      <w:pStyle w:val="3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2369C7"/>
    <w:rsid w:val="42B21FB1"/>
    <w:rsid w:val="63E97F24"/>
    <w:rsid w:val="72B4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2026-09-18T12:09:00Z</dcterms:created>
  <dc:creator>Administrator</dc:creator>
  <cp:lastModifiedBy>郭昕玥</cp:lastModifiedBy>
  <dcterms:modified xsi:type="dcterms:W3CDTF">2026-11-03T11:37:46Z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eyJoZGlkIjoiZGMyZGRiYWQ3MWE4NDZhODY4OGE4MWU5NWU0NDlmNTQiLCJ1c2VySWQiOiI5ODg1OTM3MzUifQ==</vt:lpwstr>
  </property>
  <property fmtid="{D5CDD505-2E9C-101B-9397-08002B2CF9AE}" pid="4" name="ICV">
    <vt:lpwstr>E91480B91C1F45DA80EBA1AD55EF0EBF_12</vt:lpwstr>
  </property>
</Properties>
</file>