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F8791">
      <w:pPr>
        <w:spacing w:before="139" w:line="211" w:lineRule="auto"/>
        <w:jc w:val="both"/>
        <w:rPr>
          <w:rFonts w:hint="eastAsia" w:ascii="仿宋_GB2312" w:hAnsi="仿宋_GB2312" w:eastAsia="仿宋_GB2312" w:cs="仿宋_GB2312"/>
          <w:b/>
          <w:bCs/>
          <w:spacing w:val="5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0"/>
          <w:szCs w:val="30"/>
          <w:lang w:val="en-US" w:eastAsia="zh-CN"/>
        </w:rPr>
        <w:t>附件4</w:t>
      </w:r>
    </w:p>
    <w:p w14:paraId="73C71783">
      <w:pPr>
        <w:spacing w:before="139" w:line="211" w:lineRule="auto"/>
        <w:ind w:left="1440"/>
        <w:rPr>
          <w:rFonts w:hint="eastAsia" w:ascii="仿宋_GB2312" w:hAnsi="仿宋_GB2312" w:eastAsia="仿宋_GB2312" w:cs="仿宋_GB2312"/>
          <w:sz w:val="44"/>
          <w:szCs w:val="4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pacing w:val="5"/>
          <w:sz w:val="44"/>
          <w:szCs w:val="44"/>
        </w:rPr>
        <w:t>第三届全国大学生职业规划大赛</w:t>
      </w:r>
    </w:p>
    <w:p w14:paraId="03E76C7B">
      <w:pPr>
        <w:spacing w:before="178" w:line="211" w:lineRule="auto"/>
        <w:ind w:left="2318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44"/>
          <w:szCs w:val="44"/>
        </w:rPr>
        <w:t>河南省赛就业赛道方案</w:t>
      </w:r>
    </w:p>
    <w:p w14:paraId="1CE9DF06">
      <w:pPr>
        <w:spacing w:before="101" w:line="228" w:lineRule="auto"/>
        <w:ind w:left="65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5"/>
          <w:sz w:val="30"/>
          <w:szCs w:val="30"/>
        </w:rPr>
        <w:t>一、比赛内容</w:t>
      </w:r>
    </w:p>
    <w:p w14:paraId="54B417A0">
      <w:pPr>
        <w:pStyle w:val="2"/>
        <w:spacing w:before="203" w:line="349" w:lineRule="auto"/>
        <w:ind w:left="21" w:right="71" w:firstLine="623"/>
        <w:jc w:val="both"/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考察学生求职实战能力，个人综合素质、专业能力与目标职业的契合度，个人发展路径与就业市场需求的适</w:t>
      </w:r>
      <w:r>
        <w:rPr>
          <w:rFonts w:hint="eastAsia" w:ascii="仿宋_GB2312" w:hAnsi="仿宋_GB2312" w:eastAsia="仿宋_GB2312" w:cs="仿宋_GB2312"/>
          <w:spacing w:val="11"/>
          <w:sz w:val="30"/>
          <w:szCs w:val="30"/>
        </w:rPr>
        <w:t>应度。参赛学生</w:t>
      </w:r>
      <w:r>
        <w:rPr>
          <w:rFonts w:hint="eastAsia" w:ascii="仿宋_GB2312" w:hAnsi="仿宋_GB2312" w:eastAsia="仿宋_GB2312" w:cs="仿宋_GB2312"/>
          <w:spacing w:val="3"/>
          <w:sz w:val="30"/>
          <w:szCs w:val="30"/>
        </w:rPr>
        <w:t>可获得岗位录用意向。</w:t>
      </w:r>
    </w:p>
    <w:p w14:paraId="690F24FE">
      <w:pPr>
        <w:spacing w:before="101" w:line="228" w:lineRule="auto"/>
        <w:ind w:left="653"/>
        <w:rPr>
          <w:rFonts w:ascii="黑体" w:hAnsi="黑体" w:eastAsia="黑体" w:cs="黑体"/>
          <w:spacing w:val="5"/>
          <w:sz w:val="30"/>
          <w:szCs w:val="30"/>
        </w:rPr>
      </w:pPr>
      <w:r>
        <w:rPr>
          <w:rFonts w:ascii="黑体" w:hAnsi="黑体" w:eastAsia="黑体" w:cs="黑体"/>
          <w:spacing w:val="5"/>
          <w:sz w:val="30"/>
          <w:szCs w:val="30"/>
        </w:rPr>
        <w:t>二、参赛组别和对象</w:t>
      </w:r>
    </w:p>
    <w:p w14:paraId="09E9A6E2">
      <w:pPr>
        <w:pStyle w:val="2"/>
        <w:spacing w:before="203" w:line="349" w:lineRule="auto"/>
        <w:ind w:left="21" w:right="71" w:firstLine="623"/>
        <w:jc w:val="both"/>
        <w:rPr>
          <w:rFonts w:hint="eastAsia" w:ascii="仿宋_GB2312" w:hAnsi="仿宋_GB2312" w:eastAsia="仿宋_GB2312" w:cs="仿宋_GB2312"/>
          <w:spacing w:val="12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就业赛道设本科生组、研究生组，参赛对象为普通高等学校全日制本科高年级计划求职学生，以及全体研究生。高教本科生组面向普通本科三、四年级学生（不含已通过推免等确定升学的毕业年级学生），全体第二学士学位学生；高教研究生组面向全体研究生。</w:t>
      </w:r>
    </w:p>
    <w:p w14:paraId="15F21B82">
      <w:pPr>
        <w:spacing w:before="101" w:line="228" w:lineRule="auto"/>
        <w:ind w:left="653"/>
        <w:rPr>
          <w:rFonts w:ascii="黑体" w:hAnsi="黑体" w:eastAsia="黑体" w:cs="黑体"/>
          <w:spacing w:val="5"/>
          <w:sz w:val="30"/>
          <w:szCs w:val="30"/>
        </w:rPr>
      </w:pPr>
      <w:r>
        <w:rPr>
          <w:rFonts w:ascii="黑体" w:hAnsi="黑体" w:eastAsia="黑体" w:cs="黑体"/>
          <w:spacing w:val="5"/>
          <w:sz w:val="30"/>
          <w:szCs w:val="30"/>
        </w:rPr>
        <w:t>三、参赛材料要求</w:t>
      </w:r>
    </w:p>
    <w:p w14:paraId="39BCBB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选手在大赛平台（网址：</w:t>
      </w:r>
      <w:r>
        <w:rPr>
          <w:rFonts w:hint="default" w:ascii="Times New Roman" w:hAnsi="Times New Roman" w:eastAsia="仿宋_GB2312" w:cs="Times New Roman"/>
          <w:spacing w:val="12"/>
          <w:sz w:val="30"/>
          <w:szCs w:val="30"/>
        </w:rPr>
        <w:t>zgs.chsi.com.cn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）提交以下参赛材料：</w:t>
      </w:r>
    </w:p>
    <w:p w14:paraId="5842F3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（一）求职简历（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PDF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格式）。</w:t>
      </w:r>
    </w:p>
    <w:p w14:paraId="639372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（二）求职综合展示（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PPT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格式，不超过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50MB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；可加入视频）。</w:t>
      </w:r>
    </w:p>
    <w:p w14:paraId="708E73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（三）辅助证明材料，包括实践、实习、获奖等证明材料（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PDF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格式，整合为单个文件，不超过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50MB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）。</w:t>
      </w:r>
    </w:p>
    <w:p w14:paraId="23D51DB6">
      <w:pPr>
        <w:spacing w:before="101" w:line="228" w:lineRule="auto"/>
        <w:ind w:left="653"/>
        <w:rPr>
          <w:rFonts w:ascii="黑体" w:hAnsi="黑体" w:eastAsia="黑体" w:cs="黑体"/>
          <w:spacing w:val="5"/>
          <w:sz w:val="30"/>
          <w:szCs w:val="30"/>
        </w:rPr>
      </w:pPr>
      <w:r>
        <w:rPr>
          <w:rFonts w:ascii="黑体" w:hAnsi="黑体" w:eastAsia="黑体" w:cs="黑体"/>
          <w:spacing w:val="5"/>
          <w:sz w:val="30"/>
          <w:szCs w:val="30"/>
        </w:rPr>
        <w:t>四、比赛环节</w:t>
      </w:r>
    </w:p>
    <w:p w14:paraId="36683E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就业赛道设主题陈述、综合面试、天降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offer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（录用意向）环节。各环节根据实际情况可适当调整。</w:t>
      </w:r>
    </w:p>
    <w:p w14:paraId="09A169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（一）主题陈述（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分钟）：选手结合求职综合展示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PPT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，陈述个人求职意向和职业准备情况。</w:t>
      </w:r>
    </w:p>
    <w:p w14:paraId="742C98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（二）综合面试（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分钟）：评委提出真实工作场景中可能遇到的问题，选手提出解决方案；评委结合选手陈述自由提问。</w:t>
      </w:r>
    </w:p>
    <w:p w14:paraId="0FDC1D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12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（三）天降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offer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分钟）：用人单位根据选手表现，决定是否给出录用意向，并对选手作点评。</w:t>
      </w:r>
    </w:p>
    <w:p w14:paraId="202DC2FD">
      <w:pPr>
        <w:spacing w:before="101" w:line="228" w:lineRule="auto"/>
        <w:ind w:left="653"/>
        <w:rPr>
          <w:rFonts w:hint="eastAsia" w:ascii="黑体" w:hAnsi="黑体" w:eastAsia="黑体" w:cs="黑体"/>
          <w:spacing w:val="5"/>
          <w:sz w:val="30"/>
          <w:szCs w:val="30"/>
        </w:rPr>
      </w:pPr>
      <w:r>
        <w:rPr>
          <w:rFonts w:hint="eastAsia" w:ascii="黑体" w:hAnsi="黑体" w:eastAsia="黑体" w:cs="黑体"/>
          <w:spacing w:val="5"/>
          <w:sz w:val="30"/>
          <w:szCs w:val="30"/>
        </w:rPr>
        <w:t>五、评审标准</w:t>
      </w:r>
    </w:p>
    <w:p w14:paraId="35100940">
      <w:pPr>
        <w:spacing w:line="70" w:lineRule="exact"/>
      </w:pPr>
    </w:p>
    <w:tbl>
      <w:tblPr>
        <w:tblStyle w:val="6"/>
        <w:tblW w:w="931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1"/>
        <w:gridCol w:w="6846"/>
        <w:gridCol w:w="882"/>
      </w:tblGrid>
      <w:tr w14:paraId="4327E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591" w:type="dxa"/>
            <w:vAlign w:val="top"/>
          </w:tcPr>
          <w:p w14:paraId="0CD192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31" w:lineRule="auto"/>
              <w:ind w:left="56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指标</w:t>
            </w:r>
          </w:p>
        </w:tc>
        <w:tc>
          <w:tcPr>
            <w:tcW w:w="6846" w:type="dxa"/>
            <w:vAlign w:val="top"/>
          </w:tcPr>
          <w:p w14:paraId="5028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29" w:lineRule="auto"/>
              <w:ind w:left="3193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说明</w:t>
            </w:r>
          </w:p>
        </w:tc>
        <w:tc>
          <w:tcPr>
            <w:tcW w:w="882" w:type="dxa"/>
            <w:vAlign w:val="top"/>
          </w:tcPr>
          <w:p w14:paraId="7CD869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30" w:lineRule="auto"/>
              <w:ind w:left="213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分值</w:t>
            </w:r>
          </w:p>
        </w:tc>
      </w:tr>
      <w:tr w14:paraId="6A642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591" w:type="dxa"/>
            <w:vMerge w:val="restart"/>
            <w:tcBorders>
              <w:bottom w:val="nil"/>
            </w:tcBorders>
            <w:vAlign w:val="center"/>
          </w:tcPr>
          <w:p w14:paraId="3EECEA4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24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职业目标</w:t>
            </w:r>
          </w:p>
        </w:tc>
        <w:tc>
          <w:tcPr>
            <w:tcW w:w="6846" w:type="dxa"/>
            <w:vAlign w:val="top"/>
          </w:tcPr>
          <w:p w14:paraId="6334FE1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49" w:lineRule="auto"/>
              <w:ind w:left="115" w:right="103" w:firstLine="504" w:firstLineChars="20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能够结合就业市场需求和个人所学专业、能力及兴</w:t>
            </w: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趣等特点，合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理设定职业目标</w:t>
            </w:r>
          </w:p>
        </w:tc>
        <w:tc>
          <w:tcPr>
            <w:tcW w:w="882" w:type="dxa"/>
            <w:vMerge w:val="restart"/>
            <w:tcBorders>
              <w:bottom w:val="nil"/>
            </w:tcBorders>
            <w:vAlign w:val="center"/>
          </w:tcPr>
          <w:p w14:paraId="649A7C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311" w:lineRule="exact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  <w:t>10</w:t>
            </w:r>
          </w:p>
        </w:tc>
      </w:tr>
      <w:tr w14:paraId="3F9FE1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591" w:type="dxa"/>
            <w:vMerge w:val="continue"/>
            <w:tcBorders>
              <w:top w:val="nil"/>
            </w:tcBorders>
            <w:vAlign w:val="center"/>
          </w:tcPr>
          <w:p w14:paraId="23B82A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46" w:type="dxa"/>
            <w:vAlign w:val="top"/>
          </w:tcPr>
          <w:p w14:paraId="50B358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249" w:lineRule="auto"/>
              <w:ind w:left="117" w:right="104" w:firstLine="504" w:firstLineChars="20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深入调研并准确把握目标职业的任职要求、工作内容、基本流程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和发展路径等</w:t>
            </w:r>
          </w:p>
        </w:tc>
        <w:tc>
          <w:tcPr>
            <w:tcW w:w="882" w:type="dxa"/>
            <w:vMerge w:val="continue"/>
            <w:tcBorders>
              <w:top w:val="nil"/>
            </w:tcBorders>
            <w:vAlign w:val="center"/>
          </w:tcPr>
          <w:p w14:paraId="28C24F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544380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591" w:type="dxa"/>
            <w:vMerge w:val="restart"/>
            <w:tcBorders>
              <w:bottom w:val="nil"/>
            </w:tcBorders>
            <w:vAlign w:val="center"/>
          </w:tcPr>
          <w:p w14:paraId="46BF0C6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24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岗位胜任力</w:t>
            </w:r>
          </w:p>
        </w:tc>
        <w:tc>
          <w:tcPr>
            <w:tcW w:w="6846" w:type="dxa"/>
            <w:vAlign w:val="top"/>
          </w:tcPr>
          <w:p w14:paraId="5E0B4D1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249" w:lineRule="auto"/>
              <w:ind w:left="117" w:right="104" w:firstLine="504" w:firstLineChars="20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具备目标岗位所需综合素质，如思维认知、沟通协作能力和执行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力等，具有敬业奉献的职业精神</w:t>
            </w:r>
          </w:p>
        </w:tc>
        <w:tc>
          <w:tcPr>
            <w:tcW w:w="882" w:type="dxa"/>
            <w:vAlign w:val="center"/>
          </w:tcPr>
          <w:p w14:paraId="15AD04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0" w:line="311" w:lineRule="exact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  <w:t>40</w:t>
            </w:r>
          </w:p>
        </w:tc>
      </w:tr>
      <w:tr w14:paraId="78384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591" w:type="dxa"/>
            <w:vMerge w:val="continue"/>
            <w:tcBorders>
              <w:top w:val="nil"/>
            </w:tcBorders>
            <w:vAlign w:val="center"/>
          </w:tcPr>
          <w:p w14:paraId="040B5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46" w:type="dxa"/>
            <w:vAlign w:val="top"/>
          </w:tcPr>
          <w:p w14:paraId="5E2D33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50" w:lineRule="auto"/>
              <w:ind w:left="120" w:right="60" w:firstLine="512" w:firstLineChars="20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具备目标岗位所需专业知识和技能要求，有相关实习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实践经历，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具备解决实际问题的专业能力</w:t>
            </w:r>
          </w:p>
        </w:tc>
        <w:tc>
          <w:tcPr>
            <w:tcW w:w="882" w:type="dxa"/>
            <w:vAlign w:val="center"/>
          </w:tcPr>
          <w:p w14:paraId="2981AB7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1" w:line="311" w:lineRule="exact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  <w:t>40</w:t>
            </w:r>
          </w:p>
        </w:tc>
      </w:tr>
      <w:tr w14:paraId="183625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jc w:val="center"/>
        </w:trPr>
        <w:tc>
          <w:tcPr>
            <w:tcW w:w="1591" w:type="dxa"/>
            <w:vAlign w:val="center"/>
          </w:tcPr>
          <w:p w14:paraId="494948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21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发展潜力</w:t>
            </w:r>
          </w:p>
        </w:tc>
        <w:tc>
          <w:tcPr>
            <w:tcW w:w="6846" w:type="dxa"/>
            <w:vAlign w:val="top"/>
          </w:tcPr>
          <w:p w14:paraId="73484F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49" w:lineRule="auto"/>
              <w:ind w:left="112" w:right="106" w:firstLine="504" w:firstLineChars="20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具备持续学习能力、创新精神和应对不确定性挑战的潜质，适应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未来职业发展要求和就业市场需要</w:t>
            </w:r>
          </w:p>
        </w:tc>
        <w:tc>
          <w:tcPr>
            <w:tcW w:w="882" w:type="dxa"/>
            <w:vAlign w:val="center"/>
          </w:tcPr>
          <w:p w14:paraId="53BC9D5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311" w:lineRule="exact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  <w:t>10</w:t>
            </w:r>
          </w:p>
        </w:tc>
      </w:tr>
      <w:tr w14:paraId="555100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591" w:type="dxa"/>
            <w:vAlign w:val="center"/>
          </w:tcPr>
          <w:p w14:paraId="5A20D9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225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总分</w:t>
            </w:r>
          </w:p>
        </w:tc>
        <w:tc>
          <w:tcPr>
            <w:tcW w:w="6846" w:type="dxa"/>
            <w:vAlign w:val="top"/>
          </w:tcPr>
          <w:p w14:paraId="2B78D7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14:paraId="67EAB9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312" w:lineRule="exact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en-US" w:bidi="ar-SA"/>
              </w:rPr>
              <w:t>100</w:t>
            </w:r>
          </w:p>
        </w:tc>
      </w:tr>
    </w:tbl>
    <w:p w14:paraId="1BF289F3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E9263">
    <w:pPr>
      <w:pStyle w:val="2"/>
      <w:spacing w:line="385" w:lineRule="exact"/>
      <w:ind w:left="179"/>
      <w:rPr>
        <w:sz w:val="29"/>
        <w:szCs w:val="29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EEB81D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EEB81D">
                    <w:pPr>
                      <w:pStyle w:val="3"/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1195D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53DA5"/>
    <w:rsid w:val="131F700A"/>
    <w:rsid w:val="1EB04DFB"/>
    <w:rsid w:val="21735241"/>
    <w:rsid w:val="3AE906E2"/>
    <w:rsid w:val="566D2604"/>
    <w:rsid w:val="5D47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788</Characters>
  <Lines>0</Lines>
  <Paragraphs>0</Paragraphs>
  <TotalTime>9</TotalTime>
  <ScaleCrop>false</ScaleCrop>
  <LinksUpToDate>false</LinksUpToDate>
  <CharactersWithSpaces>788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2025-11-05T09:41:00Z</dcterms:created>
  <dc:creator>Administrator</dc:creator>
  <cp:lastModifiedBy>企业用户_351392409</cp:lastModifiedBy>
  <dcterms:modified xsi:type="dcterms:W3CDTF">2025-11-06T03:35:11Z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eyJoZGlkIjoiZWQzYWM3OWJjYWI0NmE1MGVkMjQxZmU3OTE4ZTQzMWIiLCJ1c2VySWQiOiIxNTkwNzQxNzkxIn0=</vt:lpwstr>
  </property>
  <property fmtid="{D5CDD505-2E9C-101B-9397-08002B2CF9AE}" pid="4" name="ICV">
    <vt:lpwstr>34D2FBCED3CA4E98851C4B4EA5ADFEAE_12</vt:lpwstr>
  </property>
</Properties>
</file>