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001A40">
      <w:pPr>
        <w:pStyle w:val="2"/>
        <w:keepNext w:val="0"/>
        <w:keepLines w:val="0"/>
        <w:pageBreakBefore w:val="0"/>
        <w:widowControl/>
        <w:kinsoku/>
        <w:wordWrap w:val="0"/>
        <w:overflowPunct/>
        <w:topLinePunct w:val="0"/>
        <w:autoSpaceDE/>
        <w:autoSpaceDN/>
        <w:bidi w:val="0"/>
        <w:adjustRightInd/>
        <w:snapToGrid/>
        <w:spacing w:before="156" w:beforeLines="50" w:beforeAutospacing="0" w:afterAutospacing="0" w:line="540" w:lineRule="exact"/>
        <w:jc w:val="center"/>
        <w:textAlignment w:val="auto"/>
        <w:rPr>
          <w:rFonts w:hint="eastAsia" w:ascii="仿宋_GB2312" w:hAnsi="仿宋_GB2312" w:eastAsia="仿宋_GB2312" w:cs="仿宋_GB2312"/>
          <w:b/>
          <w:bCs w:val="0"/>
          <w:color w:val="3C3C3C"/>
          <w:sz w:val="40"/>
          <w:szCs w:val="40"/>
        </w:rPr>
      </w:pPr>
      <w:r>
        <w:rPr>
          <w:rFonts w:hint="eastAsia" w:ascii="仿宋_GB2312" w:hAnsi="仿宋_GB2312" w:eastAsia="仿宋_GB2312" w:cs="仿宋_GB2312"/>
          <w:b/>
          <w:bCs w:val="0"/>
          <w:color w:val="3C3C3C"/>
          <w:sz w:val="40"/>
          <w:szCs w:val="40"/>
        </w:rPr>
        <w:t>第</w:t>
      </w:r>
      <w:r>
        <w:rPr>
          <w:rFonts w:hint="eastAsia" w:ascii="仿宋_GB2312" w:hAnsi="仿宋_GB2312" w:eastAsia="仿宋_GB2312" w:cs="仿宋_GB2312"/>
          <w:b/>
          <w:bCs w:val="0"/>
          <w:color w:val="3C3C3C"/>
          <w:sz w:val="40"/>
          <w:szCs w:val="40"/>
          <w:lang w:val="en-US" w:eastAsia="zh-CN"/>
        </w:rPr>
        <w:t>三</w:t>
      </w:r>
      <w:r>
        <w:rPr>
          <w:rFonts w:hint="eastAsia" w:ascii="仿宋_GB2312" w:hAnsi="仿宋_GB2312" w:eastAsia="仿宋_GB2312" w:cs="仿宋_GB2312"/>
          <w:b/>
          <w:bCs w:val="0"/>
          <w:color w:val="3C3C3C"/>
          <w:sz w:val="40"/>
          <w:szCs w:val="40"/>
        </w:rPr>
        <w:t>届全国大学生职业规划大赛</w:t>
      </w:r>
    </w:p>
    <w:p w14:paraId="7267F1C8">
      <w:pPr>
        <w:pStyle w:val="2"/>
        <w:keepNext w:val="0"/>
        <w:keepLines w:val="0"/>
        <w:pageBreakBefore w:val="0"/>
        <w:widowControl/>
        <w:kinsoku/>
        <w:wordWrap w:val="0"/>
        <w:overflowPunct/>
        <w:topLinePunct w:val="0"/>
        <w:autoSpaceDE/>
        <w:autoSpaceDN/>
        <w:bidi w:val="0"/>
        <w:adjustRightInd/>
        <w:snapToGrid/>
        <w:spacing w:beforeAutospacing="0" w:after="156" w:afterLines="50" w:afterAutospacing="0" w:line="540" w:lineRule="exact"/>
        <w:jc w:val="center"/>
        <w:textAlignment w:val="auto"/>
        <w:rPr>
          <w:rFonts w:hint="eastAsia" w:ascii="仿宋_GB2312" w:hAnsi="仿宋_GB2312" w:eastAsia="仿宋_GB2312" w:cs="仿宋_GB2312"/>
          <w:b/>
          <w:bCs w:val="0"/>
          <w:color w:val="3C3C3C"/>
          <w:sz w:val="40"/>
          <w:szCs w:val="40"/>
        </w:rPr>
      </w:pPr>
      <w:r>
        <w:rPr>
          <w:rFonts w:hint="eastAsia" w:ascii="仿宋_GB2312" w:hAnsi="仿宋_GB2312" w:eastAsia="仿宋_GB2312" w:cs="仿宋_GB2312"/>
          <w:b/>
          <w:bCs w:val="0"/>
          <w:color w:val="3C3C3C"/>
          <w:sz w:val="40"/>
          <w:szCs w:val="40"/>
        </w:rPr>
        <w:t>河南师范大学校赛方案</w:t>
      </w:r>
    </w:p>
    <w:p w14:paraId="5EC62362">
      <w:pPr>
        <w:keepNext w:val="0"/>
        <w:keepLines w:val="0"/>
        <w:pageBreakBefore w:val="0"/>
        <w:widowControl w:val="0"/>
        <w:kinsoku/>
        <w:wordWrap/>
        <w:overflowPunct/>
        <w:topLinePunct w:val="0"/>
        <w:autoSpaceDE/>
        <w:autoSpaceDN/>
        <w:bidi w:val="0"/>
        <w:adjustRightInd/>
        <w:snapToGrid/>
        <w:spacing w:line="54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为贯彻</w:t>
      </w:r>
      <w:r>
        <w:rPr>
          <w:rFonts w:hint="eastAsia" w:ascii="仿宋_GB2312" w:hAnsi="仿宋_GB2312" w:eastAsia="仿宋_GB2312" w:cs="仿宋_GB2312"/>
          <w:sz w:val="30"/>
          <w:szCs w:val="30"/>
          <w:lang w:val="en-US" w:eastAsia="zh-CN"/>
        </w:rPr>
        <w:t>落实</w:t>
      </w:r>
      <w:r>
        <w:rPr>
          <w:rFonts w:hint="eastAsia" w:ascii="仿宋_GB2312" w:hAnsi="仿宋_GB2312" w:eastAsia="仿宋_GB2312" w:cs="仿宋_GB2312"/>
          <w:sz w:val="30"/>
          <w:szCs w:val="30"/>
        </w:rPr>
        <w:t>党中央、国务院</w:t>
      </w:r>
      <w:r>
        <w:rPr>
          <w:rFonts w:hint="eastAsia" w:ascii="仿宋_GB2312" w:hAnsi="仿宋_GB2312" w:eastAsia="仿宋_GB2312" w:cs="仿宋_GB2312"/>
          <w:sz w:val="30"/>
          <w:szCs w:val="30"/>
          <w:lang w:val="en-US" w:eastAsia="zh-CN"/>
        </w:rPr>
        <w:t>和省委、省政府</w:t>
      </w:r>
      <w:r>
        <w:rPr>
          <w:rFonts w:hint="eastAsia" w:ascii="仿宋_GB2312" w:hAnsi="仿宋_GB2312" w:eastAsia="仿宋_GB2312" w:cs="仿宋_GB2312"/>
          <w:sz w:val="30"/>
          <w:szCs w:val="30"/>
        </w:rPr>
        <w:t>关于做好高校毕业生就业工作的决策部署，落实《中共中央办公厅 国务院办公厅关于加快构建普通高等学校毕业生高质量就业服务体系的意见》精神，强化高校生涯教育和就业指导，增强大学生职业规划意识，指导其通过学习实践提升综合素质和能力，及早做好就业准备，以择业新观念打开就业新天地，促进高质量充分就业，根据《教育部关于举办第三届全国大学生职业规划大赛的通知》（教学函〔2025〕2号）以及《河南省教育厅办公室关于举办第三届全国大学生职业规划大赛河南省赛的通知》（教办学〔2025〕285号）要求，经学校研究</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决定举办第</w:t>
      </w:r>
      <w:r>
        <w:rPr>
          <w:rFonts w:hint="eastAsia" w:ascii="仿宋_GB2312" w:hAnsi="仿宋_GB2312" w:eastAsia="仿宋_GB2312" w:cs="仿宋_GB2312"/>
          <w:sz w:val="30"/>
          <w:szCs w:val="30"/>
          <w:lang w:val="en-US" w:eastAsia="zh-CN"/>
        </w:rPr>
        <w:t>三</w:t>
      </w:r>
      <w:r>
        <w:rPr>
          <w:rFonts w:hint="eastAsia" w:ascii="仿宋_GB2312" w:hAnsi="仿宋_GB2312" w:eastAsia="仿宋_GB2312" w:cs="仿宋_GB2312"/>
          <w:sz w:val="30"/>
          <w:szCs w:val="30"/>
        </w:rPr>
        <w:t>届全国大学生职业规划大赛河南师范大学校赛（以下简称大赛）</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现将大赛方案制定如下：</w:t>
      </w:r>
    </w:p>
    <w:p w14:paraId="0ACF319B">
      <w:pPr>
        <w:keepNext w:val="0"/>
        <w:keepLines w:val="0"/>
        <w:pageBreakBefore w:val="0"/>
        <w:widowControl w:val="0"/>
        <w:kinsoku/>
        <w:wordWrap/>
        <w:overflowPunct/>
        <w:topLinePunct w:val="0"/>
        <w:autoSpaceDE/>
        <w:autoSpaceDN/>
        <w:bidi w:val="0"/>
        <w:adjustRightInd/>
        <w:snapToGrid/>
        <w:spacing w:line="540" w:lineRule="exact"/>
        <w:ind w:firstLine="602" w:firstLineChars="200"/>
        <w:textAlignment w:val="auto"/>
        <w:rPr>
          <w:rFonts w:hint="eastAsia" w:ascii="黑体" w:hAnsi="黑体" w:eastAsia="黑体" w:cs="黑体"/>
          <w:b/>
          <w:sz w:val="30"/>
          <w:szCs w:val="30"/>
        </w:rPr>
      </w:pPr>
      <w:r>
        <w:rPr>
          <w:rFonts w:hint="eastAsia" w:ascii="黑体" w:hAnsi="黑体" w:eastAsia="黑体" w:cs="黑体"/>
          <w:b/>
          <w:sz w:val="30"/>
          <w:szCs w:val="30"/>
        </w:rPr>
        <w:t>一、大赛主题</w:t>
      </w:r>
    </w:p>
    <w:p w14:paraId="0779DB74">
      <w:pPr>
        <w:keepNext w:val="0"/>
        <w:keepLines w:val="0"/>
        <w:pageBreakBefore w:val="0"/>
        <w:widowControl w:val="0"/>
        <w:kinsoku/>
        <w:wordWrap/>
        <w:overflowPunct/>
        <w:topLinePunct w:val="0"/>
        <w:autoSpaceDE/>
        <w:autoSpaceDN/>
        <w:bidi w:val="0"/>
        <w:adjustRightInd/>
        <w:snapToGrid/>
        <w:spacing w:line="540" w:lineRule="exact"/>
        <w:ind w:firstLine="600" w:firstLineChars="200"/>
        <w:textAlignment w:val="auto"/>
        <w:rPr>
          <w:rFonts w:hint="eastAsia" w:ascii="仿宋" w:hAnsi="仿宋" w:eastAsia="仿宋" w:cs="仿宋"/>
          <w:sz w:val="32"/>
          <w:szCs w:val="32"/>
          <w:lang w:eastAsia="zh-CN"/>
        </w:rPr>
      </w:pPr>
      <w:r>
        <w:rPr>
          <w:rFonts w:hint="eastAsia" w:ascii="仿宋_GB2312" w:hAnsi="仿宋_GB2312" w:eastAsia="仿宋_GB2312" w:cs="仿宋_GB2312"/>
          <w:sz w:val="30"/>
          <w:szCs w:val="30"/>
        </w:rPr>
        <w:t>筑梦青春志在四方，规划启航职引未来</w:t>
      </w:r>
    </w:p>
    <w:p w14:paraId="62B27EE1">
      <w:pPr>
        <w:keepNext w:val="0"/>
        <w:keepLines w:val="0"/>
        <w:pageBreakBefore w:val="0"/>
        <w:widowControl w:val="0"/>
        <w:kinsoku/>
        <w:wordWrap/>
        <w:overflowPunct/>
        <w:topLinePunct w:val="0"/>
        <w:autoSpaceDE/>
        <w:autoSpaceDN/>
        <w:bidi w:val="0"/>
        <w:adjustRightInd/>
        <w:snapToGrid/>
        <w:spacing w:line="540" w:lineRule="exact"/>
        <w:ind w:firstLine="602" w:firstLineChars="200"/>
        <w:textAlignment w:val="auto"/>
        <w:rPr>
          <w:rFonts w:hint="eastAsia" w:ascii="黑体" w:hAnsi="黑体" w:eastAsia="黑体" w:cs="黑体"/>
          <w:b/>
          <w:sz w:val="30"/>
          <w:szCs w:val="30"/>
          <w:lang w:eastAsia="zh-CN"/>
        </w:rPr>
      </w:pPr>
      <w:r>
        <w:rPr>
          <w:rFonts w:hint="eastAsia" w:ascii="黑体" w:hAnsi="黑体" w:eastAsia="黑体" w:cs="黑体"/>
          <w:b/>
          <w:sz w:val="30"/>
          <w:szCs w:val="30"/>
          <w:lang w:val="en-US" w:eastAsia="zh-CN"/>
        </w:rPr>
        <w:t>二、</w:t>
      </w:r>
      <w:r>
        <w:rPr>
          <w:rFonts w:hint="eastAsia" w:ascii="黑体" w:hAnsi="黑体" w:eastAsia="黑体" w:cs="黑体"/>
          <w:b/>
          <w:sz w:val="30"/>
          <w:szCs w:val="30"/>
        </w:rPr>
        <w:t>大赛</w:t>
      </w:r>
      <w:r>
        <w:rPr>
          <w:rFonts w:hint="eastAsia" w:ascii="黑体" w:hAnsi="黑体" w:eastAsia="黑体" w:cs="黑体"/>
          <w:b/>
          <w:sz w:val="30"/>
          <w:szCs w:val="30"/>
          <w:lang w:val="en-US" w:eastAsia="zh-CN"/>
        </w:rPr>
        <w:t>目标</w:t>
      </w:r>
    </w:p>
    <w:p w14:paraId="2B8162B5">
      <w:pPr>
        <w:pStyle w:val="3"/>
        <w:keepNext w:val="0"/>
        <w:keepLines w:val="0"/>
        <w:pageBreakBefore w:val="0"/>
        <w:widowControl w:val="0"/>
        <w:kinsoku/>
        <w:wordWrap/>
        <w:overflowPunct/>
        <w:topLinePunct w:val="0"/>
        <w:autoSpaceDE/>
        <w:autoSpaceDN/>
        <w:bidi w:val="0"/>
        <w:adjustRightInd/>
        <w:snapToGrid/>
        <w:spacing w:line="540" w:lineRule="exact"/>
        <w:ind w:left="0" w:firstLine="600" w:firstLineChars="200"/>
        <w:jc w:val="both"/>
        <w:textAlignment w:val="auto"/>
        <w:rPr>
          <w:rFonts w:hint="eastAsia" w:ascii="仿宋_GB2312" w:hAnsi="仿宋_GB2312" w:eastAsia="仿宋_GB2312" w:cs="仿宋_GB2312"/>
          <w:kern w:val="2"/>
          <w:sz w:val="30"/>
          <w:szCs w:val="30"/>
          <w:lang w:val="en-US" w:eastAsia="zh-CN" w:bidi="ar-SA"/>
        </w:rPr>
      </w:pPr>
      <w:r>
        <w:rPr>
          <w:rFonts w:hint="eastAsia" w:ascii="仿宋_GB2312" w:hAnsi="仿宋_GB2312" w:eastAsia="仿宋_GB2312" w:cs="仿宋_GB2312"/>
          <w:kern w:val="2"/>
          <w:sz w:val="30"/>
          <w:szCs w:val="30"/>
          <w:lang w:val="en-US" w:eastAsia="zh-CN" w:bidi="ar-SA"/>
        </w:rPr>
        <w:t>努力将大赛打造成强化生涯教育的大课堂、促进人才供需对接的大平台、服务毕业生就业的大市场。通过举办大赛，更好实现以赛促学，引导大学生树立正确的成长成才观和择业就业观，科学合理规划学业与职业发展，提升就业竞争力；以赛促教，促进高校强化生涯教育，做实做细就业指导服务；以赛促就，广泛发动行业企业和高校共同参与，推动人才供需有效对接，全力促进高校毕业生高质量充分就业。</w:t>
      </w:r>
    </w:p>
    <w:p w14:paraId="77CD51CB">
      <w:pPr>
        <w:keepNext w:val="0"/>
        <w:keepLines w:val="0"/>
        <w:pageBreakBefore w:val="0"/>
        <w:widowControl w:val="0"/>
        <w:kinsoku/>
        <w:wordWrap/>
        <w:overflowPunct/>
        <w:topLinePunct w:val="0"/>
        <w:autoSpaceDE/>
        <w:autoSpaceDN/>
        <w:bidi w:val="0"/>
        <w:adjustRightInd/>
        <w:snapToGrid/>
        <w:spacing w:line="540" w:lineRule="exact"/>
        <w:ind w:firstLine="602" w:firstLineChars="200"/>
        <w:textAlignment w:val="auto"/>
        <w:rPr>
          <w:rFonts w:hint="eastAsia" w:ascii="黑体" w:hAnsi="黑体" w:eastAsia="黑体" w:cs="黑体"/>
          <w:b/>
          <w:sz w:val="30"/>
          <w:szCs w:val="30"/>
          <w:lang w:val="en-US" w:eastAsia="zh-CN"/>
        </w:rPr>
      </w:pPr>
      <w:r>
        <w:rPr>
          <w:rFonts w:hint="eastAsia" w:ascii="黑体" w:hAnsi="黑体" w:eastAsia="黑体" w:cs="黑体"/>
          <w:b/>
          <w:sz w:val="30"/>
          <w:szCs w:val="30"/>
          <w:lang w:val="en-US" w:eastAsia="zh-CN"/>
        </w:rPr>
        <w:t>三、组织机构</w:t>
      </w:r>
    </w:p>
    <w:p w14:paraId="2D9F012E">
      <w:pPr>
        <w:pStyle w:val="3"/>
        <w:keepNext w:val="0"/>
        <w:keepLines w:val="0"/>
        <w:pageBreakBefore w:val="0"/>
        <w:widowControl w:val="0"/>
        <w:kinsoku/>
        <w:wordWrap/>
        <w:overflowPunct/>
        <w:topLinePunct w:val="0"/>
        <w:autoSpaceDE/>
        <w:autoSpaceDN/>
        <w:bidi w:val="0"/>
        <w:adjustRightInd/>
        <w:snapToGrid/>
        <w:spacing w:line="540" w:lineRule="exact"/>
        <w:ind w:left="0" w:firstLine="600" w:firstLineChars="200"/>
        <w:jc w:val="both"/>
        <w:textAlignment w:val="auto"/>
        <w:rPr>
          <w:rFonts w:hint="eastAsia" w:ascii="仿宋_GB2312" w:hAnsi="仿宋_GB2312" w:eastAsia="仿宋_GB2312" w:cs="仿宋_GB2312"/>
          <w:kern w:val="2"/>
          <w:sz w:val="30"/>
          <w:szCs w:val="30"/>
          <w:lang w:val="en-US" w:eastAsia="zh-CN" w:bidi="ar-SA"/>
        </w:rPr>
      </w:pPr>
      <w:r>
        <w:rPr>
          <w:rFonts w:hint="eastAsia" w:ascii="仿宋_GB2312" w:hAnsi="仿宋_GB2312" w:eastAsia="仿宋_GB2312" w:cs="仿宋_GB2312"/>
          <w:kern w:val="2"/>
          <w:sz w:val="30"/>
          <w:szCs w:val="30"/>
          <w:lang w:val="en-US" w:eastAsia="zh-CN" w:bidi="ar-SA"/>
        </w:rPr>
        <w:t>主办单位：招生就业处</w:t>
      </w:r>
    </w:p>
    <w:p w14:paraId="4DEB8655">
      <w:pPr>
        <w:pStyle w:val="3"/>
        <w:keepNext w:val="0"/>
        <w:keepLines w:val="0"/>
        <w:pageBreakBefore w:val="0"/>
        <w:widowControl w:val="0"/>
        <w:kinsoku/>
        <w:wordWrap/>
        <w:overflowPunct/>
        <w:topLinePunct w:val="0"/>
        <w:autoSpaceDE/>
        <w:autoSpaceDN/>
        <w:bidi w:val="0"/>
        <w:adjustRightInd/>
        <w:snapToGrid/>
        <w:spacing w:line="540" w:lineRule="exact"/>
        <w:ind w:left="0" w:firstLine="600" w:firstLineChars="200"/>
        <w:jc w:val="both"/>
        <w:textAlignment w:val="auto"/>
        <w:rPr>
          <w:rFonts w:hint="eastAsia" w:ascii="仿宋_GB2312" w:hAnsi="仿宋_GB2312" w:eastAsia="仿宋_GB2312" w:cs="仿宋_GB2312"/>
          <w:kern w:val="2"/>
          <w:sz w:val="30"/>
          <w:szCs w:val="30"/>
          <w:lang w:val="en-US" w:eastAsia="zh-CN" w:bidi="ar-SA"/>
        </w:rPr>
      </w:pPr>
      <w:r>
        <w:rPr>
          <w:rFonts w:hint="eastAsia" w:ascii="仿宋_GB2312" w:hAnsi="仿宋_GB2312" w:eastAsia="仿宋_GB2312" w:cs="仿宋_GB2312"/>
          <w:kern w:val="2"/>
          <w:sz w:val="30"/>
          <w:szCs w:val="30"/>
          <w:lang w:val="en-US" w:eastAsia="zh-CN" w:bidi="ar-SA"/>
        </w:rPr>
        <w:t>承办单位：商学院</w:t>
      </w:r>
    </w:p>
    <w:p w14:paraId="1B68A851">
      <w:pPr>
        <w:keepNext w:val="0"/>
        <w:keepLines w:val="0"/>
        <w:pageBreakBefore w:val="0"/>
        <w:widowControl w:val="0"/>
        <w:kinsoku/>
        <w:wordWrap/>
        <w:overflowPunct/>
        <w:topLinePunct w:val="0"/>
        <w:autoSpaceDE/>
        <w:autoSpaceDN/>
        <w:bidi w:val="0"/>
        <w:adjustRightInd/>
        <w:snapToGrid/>
        <w:spacing w:line="540" w:lineRule="exact"/>
        <w:ind w:firstLine="602" w:firstLineChars="200"/>
        <w:textAlignment w:val="auto"/>
        <w:rPr>
          <w:rFonts w:hint="eastAsia" w:ascii="黑体" w:hAnsi="黑体" w:eastAsia="黑体" w:cs="黑体"/>
          <w:b/>
          <w:sz w:val="30"/>
          <w:szCs w:val="30"/>
          <w:lang w:val="en-US" w:eastAsia="zh-CN"/>
        </w:rPr>
      </w:pPr>
      <w:r>
        <w:rPr>
          <w:rFonts w:hint="eastAsia" w:ascii="黑体" w:hAnsi="黑体" w:eastAsia="黑体" w:cs="黑体"/>
          <w:b/>
          <w:sz w:val="30"/>
          <w:szCs w:val="30"/>
          <w:lang w:val="en-US" w:eastAsia="zh-CN"/>
        </w:rPr>
        <w:t>四、大赛内容</w:t>
      </w:r>
    </w:p>
    <w:p w14:paraId="4931185E">
      <w:pPr>
        <w:keepNext w:val="0"/>
        <w:keepLines w:val="0"/>
        <w:pageBreakBefore w:val="0"/>
        <w:widowControl/>
        <w:kinsoku/>
        <w:overflowPunct/>
        <w:topLinePunct w:val="0"/>
        <w:autoSpaceDE/>
        <w:autoSpaceDN/>
        <w:bidi w:val="0"/>
        <w:adjustRightInd/>
        <w:snapToGrid/>
        <w:spacing w:line="540" w:lineRule="exact"/>
        <w:ind w:firstLine="602" w:firstLineChars="200"/>
        <w:textAlignment w:val="auto"/>
        <w:rPr>
          <w:rFonts w:hint="eastAsia" w:ascii="仿宋_GB2312" w:hAnsi="仿宋_GB2312" w:eastAsia="仿宋_GB2312" w:cs="仿宋_GB2312"/>
          <w:kern w:val="2"/>
          <w:sz w:val="30"/>
          <w:szCs w:val="30"/>
          <w:lang w:val="en-US" w:eastAsia="zh-CN" w:bidi="ar-SA"/>
        </w:rPr>
      </w:pPr>
      <w:r>
        <w:rPr>
          <w:rFonts w:hint="eastAsia" w:ascii="仿宋_GB2312" w:hAnsi="仿宋_GB2312" w:eastAsia="仿宋_GB2312" w:cs="仿宋_GB2312"/>
          <w:b/>
          <w:bCs/>
          <w:sz w:val="30"/>
          <w:szCs w:val="30"/>
          <w:lang w:val="en-US" w:eastAsia="zh-CN"/>
        </w:rPr>
        <w:t>（一）主体赛事。</w:t>
      </w:r>
      <w:r>
        <w:rPr>
          <w:rFonts w:hint="eastAsia" w:ascii="仿宋_GB2312" w:hAnsi="仿宋_GB2312" w:eastAsia="仿宋_GB2312" w:cs="仿宋_GB2312"/>
          <w:kern w:val="2"/>
          <w:sz w:val="30"/>
          <w:szCs w:val="30"/>
          <w:lang w:val="en-US" w:eastAsia="zh-CN" w:bidi="ar-SA"/>
        </w:rPr>
        <w:t>包括面向学生的成长赛道、就业赛道。其中，成长赛道设高教组，就业赛道设高教本科生组、高教研究生组。</w:t>
      </w:r>
    </w:p>
    <w:p w14:paraId="77D9104A">
      <w:pPr>
        <w:pStyle w:val="3"/>
        <w:keepNext w:val="0"/>
        <w:keepLines w:val="0"/>
        <w:pageBreakBefore w:val="0"/>
        <w:kinsoku/>
        <w:overflowPunct/>
        <w:topLinePunct w:val="0"/>
        <w:autoSpaceDE/>
        <w:autoSpaceDN/>
        <w:bidi w:val="0"/>
        <w:adjustRightInd/>
        <w:snapToGrid/>
        <w:spacing w:before="7" w:line="540" w:lineRule="exact"/>
        <w:ind w:right="1" w:firstLine="668"/>
        <w:textAlignment w:val="auto"/>
        <w:rPr>
          <w:rFonts w:hint="eastAsia" w:ascii="仿宋_GB2312" w:hAnsi="仿宋_GB2312" w:eastAsia="仿宋_GB2312" w:cs="仿宋_GB2312"/>
          <w:spacing w:val="-7"/>
          <w:sz w:val="30"/>
          <w:szCs w:val="30"/>
        </w:rPr>
      </w:pPr>
      <w:r>
        <w:rPr>
          <w:rFonts w:hint="eastAsia" w:ascii="仿宋_GB2312" w:hAnsi="仿宋_GB2312" w:eastAsia="仿宋_GB2312" w:cs="仿宋_GB2312"/>
          <w:spacing w:val="11"/>
          <w:sz w:val="30"/>
          <w:szCs w:val="30"/>
        </w:rPr>
        <w:t>1.成长赛道。主要面向本科非毕业年级学生，考察其树</w:t>
      </w:r>
      <w:r>
        <w:rPr>
          <w:rFonts w:hint="eastAsia" w:ascii="仿宋_GB2312" w:hAnsi="仿宋_GB2312" w:eastAsia="仿宋_GB2312" w:cs="仿宋_GB2312"/>
          <w:spacing w:val="12"/>
          <w:sz w:val="30"/>
          <w:szCs w:val="30"/>
        </w:rPr>
        <w:t>立生涯发展理念并合理设置职业目标、围绕实现目标持续行动并不断调整的成长过程，通过学习实践提升综合素质和专业能力，体现正确的择业就业观念。参赛学生可获得实习机会。（详见附</w:t>
      </w:r>
      <w:r>
        <w:rPr>
          <w:rFonts w:hint="eastAsia" w:ascii="仿宋_GB2312" w:hAnsi="仿宋_GB2312" w:eastAsia="仿宋_GB2312" w:cs="仿宋_GB2312"/>
          <w:spacing w:val="-7"/>
          <w:sz w:val="30"/>
          <w:szCs w:val="30"/>
        </w:rPr>
        <w:t>件</w:t>
      </w:r>
      <w:r>
        <w:rPr>
          <w:rFonts w:hint="eastAsia" w:ascii="仿宋_GB2312" w:hAnsi="仿宋_GB2312" w:eastAsia="仿宋_GB2312" w:cs="仿宋_GB2312"/>
          <w:spacing w:val="-40"/>
          <w:sz w:val="30"/>
          <w:szCs w:val="30"/>
          <w:lang w:val="en-US" w:eastAsia="zh-CN"/>
        </w:rPr>
        <w:t>3</w:t>
      </w:r>
      <w:r>
        <w:rPr>
          <w:rFonts w:hint="eastAsia" w:ascii="仿宋_GB2312" w:hAnsi="仿宋_GB2312" w:eastAsia="仿宋_GB2312" w:cs="仿宋_GB2312"/>
          <w:spacing w:val="-7"/>
          <w:sz w:val="30"/>
          <w:szCs w:val="30"/>
        </w:rPr>
        <w:t>）</w:t>
      </w:r>
    </w:p>
    <w:p w14:paraId="07EBD37F">
      <w:pPr>
        <w:pStyle w:val="3"/>
        <w:keepNext w:val="0"/>
        <w:keepLines w:val="0"/>
        <w:pageBreakBefore w:val="0"/>
        <w:kinsoku/>
        <w:overflowPunct/>
        <w:topLinePunct w:val="0"/>
        <w:autoSpaceDE/>
        <w:autoSpaceDN/>
        <w:bidi w:val="0"/>
        <w:adjustRightInd/>
        <w:snapToGrid/>
        <w:spacing w:before="7" w:line="540" w:lineRule="exact"/>
        <w:ind w:right="1" w:firstLine="668"/>
        <w:textAlignment w:val="auto"/>
        <w:rPr>
          <w:rFonts w:hint="eastAsia" w:ascii="仿宋_GB2312" w:hAnsi="仿宋_GB2312" w:eastAsia="仿宋_GB2312" w:cs="仿宋_GB2312"/>
          <w:spacing w:val="11"/>
          <w:sz w:val="30"/>
          <w:szCs w:val="30"/>
        </w:rPr>
      </w:pPr>
      <w:r>
        <w:rPr>
          <w:rFonts w:hint="eastAsia" w:ascii="仿宋_GB2312" w:hAnsi="仿宋_GB2312" w:eastAsia="仿宋_GB2312" w:cs="仿宋_GB2312"/>
          <w:spacing w:val="11"/>
          <w:sz w:val="30"/>
          <w:szCs w:val="30"/>
        </w:rPr>
        <w:t>2.就业赛道。面向本科高年级计划求职学生（不含已通过推免等确定升学的毕业年级学生）和研究生，考察其求职实战能力，个人综合素质、专业能力与目标职业的契合度，个人发展路径与就业市场需求的适应度。参赛学生可获得岗位录用意向。（详见附件</w:t>
      </w:r>
      <w:r>
        <w:rPr>
          <w:rFonts w:hint="eastAsia" w:ascii="仿宋_GB2312" w:hAnsi="仿宋_GB2312" w:eastAsia="仿宋_GB2312" w:cs="仿宋_GB2312"/>
          <w:spacing w:val="11"/>
          <w:sz w:val="30"/>
          <w:szCs w:val="30"/>
          <w:lang w:val="en-US" w:eastAsia="zh-CN"/>
        </w:rPr>
        <w:t>4</w:t>
      </w:r>
      <w:r>
        <w:rPr>
          <w:rFonts w:hint="eastAsia" w:ascii="仿宋_GB2312" w:hAnsi="仿宋_GB2312" w:eastAsia="仿宋_GB2312" w:cs="仿宋_GB2312"/>
          <w:spacing w:val="11"/>
          <w:sz w:val="30"/>
          <w:szCs w:val="30"/>
        </w:rPr>
        <w:t>）</w:t>
      </w:r>
    </w:p>
    <w:p w14:paraId="15C604DF">
      <w:pPr>
        <w:keepNext w:val="0"/>
        <w:keepLines w:val="0"/>
        <w:pageBreakBefore w:val="0"/>
        <w:widowControl/>
        <w:kinsoku/>
        <w:overflowPunct/>
        <w:topLinePunct w:val="0"/>
        <w:autoSpaceDE/>
        <w:autoSpaceDN/>
        <w:bidi w:val="0"/>
        <w:adjustRightInd/>
        <w:snapToGrid/>
        <w:spacing w:line="540" w:lineRule="exact"/>
        <w:ind w:firstLine="602" w:firstLineChars="200"/>
        <w:textAlignment w:val="auto"/>
        <w:rPr>
          <w:rFonts w:ascii="Times New Roman" w:hAnsi="Times New Roman" w:eastAsia="仿宋"/>
          <w:b w:val="0"/>
          <w:bCs w:val="0"/>
          <w:sz w:val="32"/>
          <w:szCs w:val="32"/>
        </w:rPr>
      </w:pPr>
      <w:r>
        <w:rPr>
          <w:rFonts w:hint="eastAsia" w:ascii="仿宋_GB2312" w:hAnsi="仿宋_GB2312" w:eastAsia="仿宋_GB2312" w:cs="仿宋_GB2312"/>
          <w:b/>
          <w:bCs/>
          <w:sz w:val="30"/>
          <w:szCs w:val="30"/>
          <w:lang w:val="en-US" w:eastAsia="zh-CN"/>
        </w:rPr>
        <w:t>（二）同期活动。</w:t>
      </w:r>
      <w:r>
        <w:rPr>
          <w:rFonts w:hint="eastAsia" w:ascii="仿宋_GB2312" w:hAnsi="仿宋_GB2312" w:eastAsia="仿宋_GB2312" w:cs="仿宋_GB2312"/>
          <w:b w:val="0"/>
          <w:bCs w:val="0"/>
          <w:sz w:val="30"/>
          <w:szCs w:val="30"/>
          <w:lang w:val="en-US" w:eastAsia="zh-CN"/>
        </w:rPr>
        <w:t>各学院（部）、书院要围绕主体赛事，结合学院（部）、书院实际精心设计并广泛开展大学生职业规划宣讲、访企拓岗、就业工作交流、一对一咨询、团体辅导、专场招聘会等系列活动。</w:t>
      </w:r>
    </w:p>
    <w:p w14:paraId="0241F1F2">
      <w:pPr>
        <w:keepNext w:val="0"/>
        <w:keepLines w:val="0"/>
        <w:pageBreakBefore w:val="0"/>
        <w:widowControl w:val="0"/>
        <w:kinsoku/>
        <w:wordWrap/>
        <w:overflowPunct/>
        <w:topLinePunct w:val="0"/>
        <w:autoSpaceDE/>
        <w:autoSpaceDN/>
        <w:bidi w:val="0"/>
        <w:adjustRightInd/>
        <w:snapToGrid/>
        <w:spacing w:line="540" w:lineRule="exact"/>
        <w:ind w:firstLine="602" w:firstLineChars="200"/>
        <w:textAlignment w:val="auto"/>
        <w:rPr>
          <w:rFonts w:hint="eastAsia" w:ascii="黑体" w:hAnsi="黑体" w:eastAsia="黑体" w:cs="黑体"/>
          <w:b/>
          <w:sz w:val="30"/>
          <w:szCs w:val="30"/>
          <w:lang w:val="en-US" w:eastAsia="zh-CN"/>
        </w:rPr>
      </w:pPr>
      <w:r>
        <w:rPr>
          <w:rFonts w:hint="eastAsia" w:ascii="黑体" w:hAnsi="黑体" w:eastAsia="黑体" w:cs="黑体"/>
          <w:b/>
          <w:sz w:val="30"/>
          <w:szCs w:val="30"/>
          <w:lang w:val="en-US" w:eastAsia="zh-CN"/>
        </w:rPr>
        <w:t>五、大赛流程</w:t>
      </w:r>
    </w:p>
    <w:p w14:paraId="01741F5D">
      <w:pPr>
        <w:pStyle w:val="6"/>
        <w:keepNext w:val="0"/>
        <w:keepLines w:val="0"/>
        <w:pageBreakBefore w:val="0"/>
        <w:widowControl/>
        <w:kinsoku/>
        <w:wordWrap w:val="0"/>
        <w:overflowPunct/>
        <w:topLinePunct w:val="0"/>
        <w:autoSpaceDE/>
        <w:autoSpaceDN/>
        <w:bidi w:val="0"/>
        <w:adjustRightInd/>
        <w:snapToGrid/>
        <w:spacing w:beforeAutospacing="0" w:afterAutospacing="0" w:line="540" w:lineRule="exact"/>
        <w:ind w:firstLine="602" w:firstLineChars="200"/>
        <w:jc w:val="both"/>
        <w:textAlignment w:val="auto"/>
        <w:rPr>
          <w:rStyle w:val="9"/>
          <w:rFonts w:hint="eastAsia" w:ascii="仿宋_GB2312" w:hAnsi="仿宋_GB2312" w:eastAsia="仿宋_GB2312" w:cs="仿宋_GB2312"/>
          <w:color w:val="000000"/>
          <w:sz w:val="30"/>
          <w:szCs w:val="30"/>
        </w:rPr>
      </w:pPr>
      <w:r>
        <w:rPr>
          <w:rStyle w:val="9"/>
          <w:rFonts w:hint="eastAsia" w:ascii="仿宋_GB2312" w:hAnsi="仿宋_GB2312" w:eastAsia="仿宋_GB2312" w:cs="仿宋_GB2312"/>
          <w:color w:val="000000"/>
          <w:sz w:val="30"/>
          <w:szCs w:val="30"/>
        </w:rPr>
        <w:t>（一）参赛报名</w:t>
      </w:r>
    </w:p>
    <w:p w14:paraId="7077AB5D">
      <w:pPr>
        <w:pStyle w:val="6"/>
        <w:keepNext w:val="0"/>
        <w:keepLines w:val="0"/>
        <w:pageBreakBefore w:val="0"/>
        <w:widowControl/>
        <w:kinsoku/>
        <w:wordWrap w:val="0"/>
        <w:overflowPunct/>
        <w:topLinePunct w:val="0"/>
        <w:autoSpaceDE/>
        <w:autoSpaceDN/>
        <w:bidi w:val="0"/>
        <w:adjustRightInd/>
        <w:snapToGrid/>
        <w:spacing w:beforeAutospacing="0" w:afterAutospacing="0" w:line="540" w:lineRule="exact"/>
        <w:ind w:firstLine="600" w:firstLineChars="200"/>
        <w:jc w:val="both"/>
        <w:textAlignment w:val="auto"/>
        <w:rPr>
          <w:rFonts w:hint="eastAsia" w:ascii="仿宋_GB2312" w:hAnsi="仿宋_GB2312" w:eastAsia="仿宋_GB2312" w:cs="仿宋_GB2312"/>
          <w:sz w:val="30"/>
          <w:szCs w:val="30"/>
          <w:lang w:val="en-US" w:eastAsia="zh-CN" w:bidi="ar"/>
        </w:rPr>
      </w:pPr>
      <w:r>
        <w:rPr>
          <w:rFonts w:hint="eastAsia" w:ascii="仿宋_GB2312" w:hAnsi="仿宋_GB2312" w:eastAsia="仿宋_GB2312" w:cs="仿宋_GB2312"/>
          <w:sz w:val="30"/>
          <w:szCs w:val="30"/>
        </w:rPr>
        <w:t>各学院（部）、书院要高度重视、广泛宣传</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要求全体本科生、全日制研究生通过全国大学生职业规划大赛平台</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以下简称大赛平台</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网址：zgs.chsi.com.cn</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进行报名</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并完成成长赛道生涯闯关功能、就业赛道职业适配度测试功能</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lang w:val="en-US" w:eastAsia="zh-CN"/>
        </w:rPr>
        <w:t>报名截止时间为2025年12月27日。</w:t>
      </w:r>
    </w:p>
    <w:p w14:paraId="260BD39E">
      <w:pPr>
        <w:pStyle w:val="5"/>
        <w:keepNext w:val="0"/>
        <w:keepLines w:val="0"/>
        <w:pageBreakBefore w:val="0"/>
        <w:shd w:val="clear" w:color="auto" w:fill="FFFFFF"/>
        <w:kinsoku/>
        <w:overflowPunct/>
        <w:topLinePunct w:val="0"/>
        <w:autoSpaceDE/>
        <w:autoSpaceDN/>
        <w:bidi w:val="0"/>
        <w:adjustRightInd/>
        <w:snapToGrid/>
        <w:spacing w:line="540" w:lineRule="exact"/>
        <w:ind w:firstLine="602" w:firstLineChars="200"/>
        <w:textAlignment w:val="auto"/>
        <w:rPr>
          <w:rFonts w:hint="eastAsia" w:ascii="仿宋_GB2312" w:hAnsi="仿宋_GB2312" w:eastAsia="仿宋_GB2312" w:cs="仿宋_GB2312"/>
          <w:b/>
          <w:bCs/>
          <w:sz w:val="30"/>
          <w:szCs w:val="30"/>
        </w:rPr>
      </w:pPr>
      <w:r>
        <w:rPr>
          <w:rFonts w:hint="eastAsia" w:ascii="仿宋_GB2312" w:hAnsi="仿宋_GB2312" w:eastAsia="仿宋_GB2312" w:cs="仿宋_GB2312"/>
          <w:b/>
          <w:bCs/>
          <w:sz w:val="30"/>
          <w:szCs w:val="30"/>
        </w:rPr>
        <w:t>（二）院赛</w:t>
      </w:r>
    </w:p>
    <w:p w14:paraId="719721AC">
      <w:pPr>
        <w:pStyle w:val="6"/>
        <w:keepNext w:val="0"/>
        <w:keepLines w:val="0"/>
        <w:pageBreakBefore w:val="0"/>
        <w:widowControl/>
        <w:kinsoku/>
        <w:wordWrap w:val="0"/>
        <w:overflowPunct/>
        <w:topLinePunct w:val="0"/>
        <w:autoSpaceDE/>
        <w:autoSpaceDN/>
        <w:bidi w:val="0"/>
        <w:adjustRightInd/>
        <w:snapToGrid/>
        <w:spacing w:beforeAutospacing="0" w:afterAutospacing="0" w:line="540" w:lineRule="exact"/>
        <w:ind w:firstLine="600" w:firstLineChars="200"/>
        <w:jc w:val="both"/>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院赛由各学院（部）、书院负责组织，遴选出参加校复赛的选手。各学院（部）、书院参照大赛成长、就业赛道方案，自主确定参赛名额、分组设置、比赛环节、评审方式和奖项设置等。各学院（部）、书院完成院赛选拔后</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按照校复赛分配名额择优推荐选手</w:t>
      </w:r>
      <w:r>
        <w:rPr>
          <w:rFonts w:hint="eastAsia" w:ascii="仿宋_GB2312" w:hAnsi="仿宋_GB2312" w:eastAsia="仿宋_GB2312" w:cs="仿宋_GB2312"/>
          <w:sz w:val="30"/>
          <w:szCs w:val="30"/>
          <w:lang w:val="en-US" w:eastAsia="zh-CN"/>
        </w:rPr>
        <w:t>参加</w:t>
      </w:r>
      <w:r>
        <w:rPr>
          <w:rFonts w:hint="eastAsia" w:ascii="仿宋_GB2312" w:hAnsi="仿宋_GB2312" w:eastAsia="仿宋_GB2312" w:cs="仿宋_GB2312"/>
          <w:sz w:val="30"/>
          <w:szCs w:val="30"/>
        </w:rPr>
        <w:t>校复赛。</w:t>
      </w:r>
      <w:r>
        <w:rPr>
          <w:rFonts w:hint="eastAsia" w:ascii="仿宋_GB2312" w:hAnsi="仿宋_GB2312" w:eastAsia="仿宋_GB2312" w:cs="仿宋_GB2312"/>
          <w:color w:val="000000"/>
          <w:sz w:val="30"/>
          <w:szCs w:val="30"/>
        </w:rPr>
        <w:t>各单位负责人须于202</w:t>
      </w:r>
      <w:r>
        <w:rPr>
          <w:rFonts w:hint="eastAsia" w:ascii="仿宋_GB2312" w:hAnsi="仿宋_GB2312" w:eastAsia="仿宋_GB2312" w:cs="仿宋_GB2312"/>
          <w:color w:val="000000"/>
          <w:sz w:val="30"/>
          <w:szCs w:val="30"/>
          <w:lang w:val="en-US" w:eastAsia="zh-CN"/>
        </w:rPr>
        <w:t>5</w:t>
      </w:r>
      <w:r>
        <w:rPr>
          <w:rFonts w:hint="eastAsia" w:ascii="仿宋_GB2312" w:hAnsi="仿宋_GB2312" w:eastAsia="仿宋_GB2312" w:cs="仿宋_GB2312"/>
          <w:color w:val="000000"/>
          <w:sz w:val="30"/>
          <w:szCs w:val="30"/>
        </w:rPr>
        <w:t>年</w:t>
      </w:r>
      <w:r>
        <w:rPr>
          <w:rFonts w:hint="eastAsia" w:ascii="仿宋_GB2312" w:hAnsi="仿宋_GB2312" w:eastAsia="仿宋_GB2312" w:cs="仿宋_GB2312"/>
          <w:color w:val="000000"/>
          <w:sz w:val="30"/>
          <w:szCs w:val="30"/>
          <w:lang w:eastAsia="zh"/>
        </w:rPr>
        <w:t>1</w:t>
      </w:r>
      <w:r>
        <w:rPr>
          <w:rFonts w:hint="eastAsia" w:ascii="仿宋_GB2312" w:hAnsi="仿宋_GB2312" w:eastAsia="仿宋_GB2312" w:cs="仿宋_GB2312"/>
          <w:color w:val="000000"/>
          <w:sz w:val="30"/>
          <w:szCs w:val="30"/>
          <w:lang w:val="en-US" w:eastAsia="zh-CN"/>
        </w:rPr>
        <w:t>2</w:t>
      </w:r>
      <w:r>
        <w:rPr>
          <w:rFonts w:hint="eastAsia" w:ascii="仿宋_GB2312" w:hAnsi="仿宋_GB2312" w:eastAsia="仿宋_GB2312" w:cs="仿宋_GB2312"/>
          <w:color w:val="000000"/>
          <w:sz w:val="30"/>
          <w:szCs w:val="30"/>
          <w:lang w:eastAsia="zh"/>
        </w:rPr>
        <w:t>月</w:t>
      </w:r>
      <w:r>
        <w:rPr>
          <w:rFonts w:hint="eastAsia" w:ascii="仿宋_GB2312" w:hAnsi="仿宋_GB2312" w:eastAsia="仿宋_GB2312" w:cs="仿宋_GB2312"/>
          <w:color w:val="000000"/>
          <w:sz w:val="30"/>
          <w:szCs w:val="30"/>
          <w:lang w:val="en-US" w:eastAsia="zh-CN"/>
        </w:rPr>
        <w:t>5</w:t>
      </w:r>
      <w:r>
        <w:rPr>
          <w:rFonts w:hint="eastAsia" w:ascii="仿宋_GB2312" w:hAnsi="仿宋_GB2312" w:eastAsia="仿宋_GB2312" w:cs="仿宋_GB2312"/>
          <w:color w:val="000000"/>
          <w:sz w:val="30"/>
          <w:szCs w:val="30"/>
          <w:lang w:eastAsia="zh"/>
        </w:rPr>
        <w:t>日</w:t>
      </w:r>
      <w:r>
        <w:rPr>
          <w:rFonts w:hint="eastAsia" w:ascii="仿宋_GB2312" w:hAnsi="仿宋_GB2312" w:eastAsia="仿宋_GB2312" w:cs="仿宋_GB2312"/>
          <w:color w:val="000000"/>
          <w:sz w:val="30"/>
          <w:szCs w:val="30"/>
        </w:rPr>
        <w:t>前将推荐选手材料纸质版</w:t>
      </w:r>
      <w:r>
        <w:rPr>
          <w:rFonts w:hint="eastAsia" w:ascii="仿宋_GB2312" w:hAnsi="仿宋_GB2312" w:eastAsia="仿宋_GB2312" w:cs="仿宋_GB2312"/>
          <w:color w:val="000000"/>
          <w:sz w:val="30"/>
          <w:szCs w:val="30"/>
          <w:lang w:eastAsia="zh-CN"/>
        </w:rPr>
        <w:t>（</w:t>
      </w:r>
      <w:r>
        <w:rPr>
          <w:rFonts w:hint="eastAsia" w:ascii="仿宋_GB2312" w:hAnsi="仿宋_GB2312" w:eastAsia="仿宋_GB2312" w:cs="仿宋_GB2312"/>
          <w:color w:val="000000"/>
          <w:sz w:val="30"/>
          <w:szCs w:val="30"/>
        </w:rPr>
        <w:t>需加盖学院公章）以学院</w:t>
      </w:r>
      <w:r>
        <w:rPr>
          <w:rFonts w:hint="eastAsia" w:ascii="仿宋_GB2312" w:hAnsi="仿宋_GB2312" w:eastAsia="仿宋_GB2312" w:cs="仿宋_GB2312"/>
          <w:sz w:val="30"/>
          <w:szCs w:val="30"/>
        </w:rPr>
        <w:t>（部）、书院</w:t>
      </w:r>
      <w:r>
        <w:rPr>
          <w:rFonts w:hint="eastAsia" w:ascii="仿宋_GB2312" w:hAnsi="仿宋_GB2312" w:eastAsia="仿宋_GB2312" w:cs="仿宋_GB2312"/>
          <w:color w:val="000000"/>
          <w:sz w:val="30"/>
          <w:szCs w:val="30"/>
        </w:rPr>
        <w:t>为单位，统一交至</w:t>
      </w:r>
      <w:r>
        <w:rPr>
          <w:rFonts w:hint="eastAsia" w:ascii="仿宋_GB2312" w:hAnsi="仿宋_GB2312" w:eastAsia="仿宋_GB2312" w:cs="仿宋_GB2312"/>
          <w:color w:val="000000"/>
          <w:sz w:val="30"/>
          <w:szCs w:val="30"/>
          <w:lang w:val="en-US" w:eastAsia="zh-CN"/>
        </w:rPr>
        <w:t>商学</w:t>
      </w:r>
      <w:r>
        <w:rPr>
          <w:rFonts w:hint="eastAsia" w:ascii="仿宋_GB2312" w:hAnsi="仿宋_GB2312" w:eastAsia="仿宋_GB2312" w:cs="仿宋_GB2312"/>
          <w:color w:val="000000"/>
          <w:sz w:val="30"/>
          <w:szCs w:val="30"/>
          <w:lang w:eastAsia="zh"/>
        </w:rPr>
        <w:t>院</w:t>
      </w:r>
      <w:r>
        <w:rPr>
          <w:rFonts w:hint="eastAsia" w:ascii="仿宋_GB2312" w:hAnsi="仿宋_GB2312" w:eastAsia="仿宋_GB2312" w:cs="仿宋_GB2312"/>
          <w:color w:val="000000"/>
          <w:sz w:val="30"/>
          <w:szCs w:val="30"/>
          <w:lang w:val="en-US" w:eastAsia="zh-CN"/>
        </w:rPr>
        <w:t>323</w:t>
      </w:r>
      <w:r>
        <w:rPr>
          <w:rFonts w:hint="eastAsia" w:ascii="仿宋_GB2312" w:hAnsi="仿宋_GB2312" w:eastAsia="仿宋_GB2312" w:cs="仿宋_GB2312"/>
          <w:color w:val="000000"/>
          <w:sz w:val="30"/>
          <w:szCs w:val="30"/>
        </w:rPr>
        <w:t>团委办公室</w:t>
      </w:r>
      <w:r>
        <w:rPr>
          <w:rFonts w:hint="eastAsia" w:ascii="仿宋_GB2312" w:hAnsi="仿宋_GB2312" w:eastAsia="仿宋_GB2312" w:cs="仿宋_GB2312"/>
          <w:color w:val="000000"/>
          <w:sz w:val="30"/>
          <w:szCs w:val="30"/>
          <w:lang w:eastAsia="zh-CN"/>
        </w:rPr>
        <w:t>，</w:t>
      </w:r>
      <w:r>
        <w:rPr>
          <w:rFonts w:hint="eastAsia" w:ascii="仿宋_GB2312" w:hAnsi="仿宋_GB2312" w:eastAsia="仿宋_GB2312" w:cs="仿宋_GB2312"/>
          <w:color w:val="000000"/>
          <w:sz w:val="30"/>
          <w:szCs w:val="30"/>
        </w:rPr>
        <w:t>电子版发送至邮箱：hsd</w:t>
      </w:r>
      <w:r>
        <w:rPr>
          <w:rFonts w:hint="eastAsia" w:ascii="仿宋_GB2312" w:hAnsi="仿宋_GB2312" w:eastAsia="仿宋_GB2312" w:cs="仿宋_GB2312"/>
          <w:color w:val="000000"/>
          <w:sz w:val="30"/>
          <w:szCs w:val="30"/>
          <w:lang w:val="en-US" w:eastAsia="zh-CN"/>
        </w:rPr>
        <w:t>sxy</w:t>
      </w:r>
      <w:r>
        <w:rPr>
          <w:rFonts w:hint="eastAsia" w:ascii="仿宋_GB2312" w:hAnsi="仿宋_GB2312" w:eastAsia="仿宋_GB2312" w:cs="仿宋_GB2312"/>
          <w:color w:val="000000"/>
          <w:sz w:val="30"/>
          <w:szCs w:val="30"/>
        </w:rPr>
        <w:t>tw@163.com。</w:t>
      </w:r>
      <w:r>
        <w:rPr>
          <w:rFonts w:hint="eastAsia" w:ascii="仿宋_GB2312" w:hAnsi="仿宋_GB2312" w:eastAsia="仿宋_GB2312" w:cs="仿宋_GB2312"/>
          <w:sz w:val="30"/>
          <w:szCs w:val="30"/>
        </w:rPr>
        <w:t>上交内容主要包括：《学院参赛统计表》（见附件</w:t>
      </w:r>
      <w:r>
        <w:rPr>
          <w:rFonts w:hint="eastAsia" w:ascii="仿宋_GB2312" w:hAnsi="仿宋_GB2312" w:eastAsia="仿宋_GB2312" w:cs="仿宋_GB2312"/>
          <w:sz w:val="30"/>
          <w:szCs w:val="30"/>
          <w:lang w:val="en-US" w:eastAsia="zh-CN"/>
        </w:rPr>
        <w:t>2</w:t>
      </w:r>
      <w:r>
        <w:rPr>
          <w:rFonts w:hint="eastAsia" w:ascii="仿宋_GB2312" w:hAnsi="仿宋_GB2312" w:eastAsia="仿宋_GB2312" w:cs="仿宋_GB2312"/>
          <w:sz w:val="30"/>
          <w:szCs w:val="30"/>
        </w:rPr>
        <w:t>）；成长赛道《报名登记表》（见附件</w:t>
      </w:r>
      <w:r>
        <w:rPr>
          <w:rFonts w:hint="eastAsia" w:ascii="仿宋_GB2312" w:hAnsi="仿宋_GB2312" w:eastAsia="仿宋_GB2312" w:cs="仿宋_GB2312"/>
          <w:sz w:val="30"/>
          <w:szCs w:val="30"/>
          <w:lang w:val="en-US" w:eastAsia="zh-CN"/>
        </w:rPr>
        <w:t>1</w:t>
      </w:r>
      <w:r>
        <w:rPr>
          <w:rFonts w:hint="eastAsia" w:ascii="仿宋_GB2312" w:hAnsi="仿宋_GB2312" w:eastAsia="仿宋_GB2312" w:cs="仿宋_GB2312"/>
          <w:sz w:val="30"/>
          <w:szCs w:val="30"/>
        </w:rPr>
        <w:t>）、生涯发展报告、生涯发展展示（PPT格式，不超过50MB；可加入视频）；就业赛道《报名登记表》（见附件</w:t>
      </w:r>
      <w:r>
        <w:rPr>
          <w:rFonts w:hint="eastAsia" w:ascii="仿宋_GB2312" w:hAnsi="仿宋_GB2312" w:eastAsia="仿宋_GB2312" w:cs="仿宋_GB2312"/>
          <w:sz w:val="30"/>
          <w:szCs w:val="30"/>
          <w:lang w:val="en-US" w:eastAsia="zh-CN"/>
        </w:rPr>
        <w:t>1</w:t>
      </w:r>
      <w:r>
        <w:rPr>
          <w:rFonts w:hint="eastAsia" w:ascii="仿宋_GB2312" w:hAnsi="仿宋_GB2312" w:eastAsia="仿宋_GB2312" w:cs="仿宋_GB2312"/>
          <w:sz w:val="30"/>
          <w:szCs w:val="30"/>
        </w:rPr>
        <w:t>）、求职简历（PDF格式）、求职综合展示（PPT格式，不超过50MB；可加入视频）、辅助证明材料，包括实践、实习、获奖等证明材料（PDF格式，整合为单个文件，不超过50MB）。</w:t>
      </w:r>
    </w:p>
    <w:p w14:paraId="4EDBAD2A">
      <w:pPr>
        <w:pStyle w:val="5"/>
        <w:keepNext w:val="0"/>
        <w:keepLines w:val="0"/>
        <w:pageBreakBefore w:val="0"/>
        <w:shd w:val="clear" w:color="auto" w:fill="FFFFFF"/>
        <w:kinsoku/>
        <w:overflowPunct/>
        <w:topLinePunct w:val="0"/>
        <w:autoSpaceDE/>
        <w:autoSpaceDN/>
        <w:bidi w:val="0"/>
        <w:adjustRightInd/>
        <w:snapToGrid/>
        <w:spacing w:line="540" w:lineRule="exact"/>
        <w:ind w:firstLine="602" w:firstLineChars="200"/>
        <w:textAlignment w:val="auto"/>
        <w:rPr>
          <w:rStyle w:val="9"/>
          <w:rFonts w:hint="eastAsia" w:ascii="仿宋_GB2312" w:hAnsi="仿宋_GB2312" w:eastAsia="仿宋_GB2312" w:cs="仿宋_GB2312"/>
          <w:color w:val="000000"/>
          <w:sz w:val="30"/>
          <w:szCs w:val="30"/>
          <w:shd w:val="clear" w:color="FFFFFF" w:fill="D9D9D9"/>
        </w:rPr>
      </w:pPr>
      <w:r>
        <w:rPr>
          <w:rFonts w:hint="eastAsia" w:ascii="仿宋_GB2312" w:hAnsi="仿宋_GB2312" w:eastAsia="仿宋_GB2312" w:cs="仿宋_GB2312"/>
          <w:b/>
          <w:bCs/>
          <w:sz w:val="30"/>
          <w:szCs w:val="30"/>
        </w:rPr>
        <w:t>各学院（部）、书院成长赛道推荐2名</w:t>
      </w:r>
      <w:r>
        <w:rPr>
          <w:rFonts w:hint="eastAsia" w:ascii="仿宋_GB2312" w:hAnsi="仿宋_GB2312" w:eastAsia="仿宋_GB2312" w:cs="仿宋_GB2312"/>
          <w:b/>
          <w:bCs/>
          <w:sz w:val="30"/>
          <w:szCs w:val="30"/>
          <w:lang w:eastAsia="zh"/>
        </w:rPr>
        <w:t>本科生</w:t>
      </w:r>
      <w:r>
        <w:rPr>
          <w:rFonts w:hint="eastAsia" w:ascii="仿宋_GB2312" w:hAnsi="仿宋_GB2312" w:eastAsia="仿宋_GB2312" w:cs="仿宋_GB2312"/>
          <w:b/>
          <w:bCs/>
          <w:sz w:val="30"/>
          <w:szCs w:val="30"/>
        </w:rPr>
        <w:t>选手</w:t>
      </w:r>
      <w:r>
        <w:rPr>
          <w:rFonts w:hint="eastAsia" w:ascii="仿宋_GB2312" w:hAnsi="仿宋_GB2312" w:eastAsia="仿宋_GB2312" w:cs="仿宋_GB2312"/>
          <w:b/>
          <w:bCs/>
          <w:sz w:val="30"/>
          <w:szCs w:val="30"/>
          <w:lang w:eastAsia="zh"/>
        </w:rPr>
        <w:t>，就业赛道</w:t>
      </w:r>
      <w:r>
        <w:rPr>
          <w:rFonts w:hint="eastAsia" w:ascii="仿宋_GB2312" w:hAnsi="仿宋_GB2312" w:eastAsia="仿宋_GB2312" w:cs="仿宋_GB2312"/>
          <w:b/>
          <w:bCs/>
          <w:sz w:val="30"/>
          <w:szCs w:val="30"/>
        </w:rPr>
        <w:t>各</w:t>
      </w:r>
      <w:r>
        <w:rPr>
          <w:rFonts w:hint="eastAsia" w:ascii="仿宋_GB2312" w:hAnsi="仿宋_GB2312" w:eastAsia="仿宋_GB2312" w:cs="仿宋_GB2312"/>
          <w:b/>
          <w:bCs/>
          <w:sz w:val="30"/>
          <w:szCs w:val="30"/>
          <w:lang w:eastAsia="zh"/>
        </w:rPr>
        <w:t>推荐2名本科生选手和2名研究生选手</w:t>
      </w:r>
      <w:r>
        <w:rPr>
          <w:rFonts w:hint="eastAsia" w:ascii="仿宋_GB2312" w:hAnsi="仿宋_GB2312" w:eastAsia="仿宋_GB2312" w:cs="仿宋_GB2312"/>
          <w:b/>
          <w:bCs/>
          <w:sz w:val="30"/>
          <w:szCs w:val="30"/>
        </w:rPr>
        <w:t>参加校级初赛。</w:t>
      </w:r>
    </w:p>
    <w:p w14:paraId="08BAC1A0">
      <w:pPr>
        <w:pStyle w:val="6"/>
        <w:keepNext w:val="0"/>
        <w:keepLines w:val="0"/>
        <w:pageBreakBefore w:val="0"/>
        <w:widowControl/>
        <w:numPr>
          <w:ilvl w:val="0"/>
          <w:numId w:val="0"/>
        </w:numPr>
        <w:kinsoku/>
        <w:wordWrap w:val="0"/>
        <w:overflowPunct/>
        <w:topLinePunct w:val="0"/>
        <w:autoSpaceDE/>
        <w:autoSpaceDN/>
        <w:bidi w:val="0"/>
        <w:adjustRightInd/>
        <w:snapToGrid/>
        <w:spacing w:beforeAutospacing="0" w:afterAutospacing="0" w:line="540" w:lineRule="exact"/>
        <w:ind w:firstLine="602" w:firstLineChars="200"/>
        <w:jc w:val="both"/>
        <w:textAlignment w:val="auto"/>
        <w:rPr>
          <w:rFonts w:hint="eastAsia" w:ascii="仿宋_GB2312" w:hAnsi="仿宋_GB2312" w:eastAsia="仿宋_GB2312" w:cs="仿宋_GB2312"/>
          <w:b/>
          <w:bCs/>
          <w:sz w:val="30"/>
          <w:szCs w:val="30"/>
        </w:rPr>
      </w:pPr>
      <w:r>
        <w:rPr>
          <w:rFonts w:hint="eastAsia" w:ascii="仿宋_GB2312" w:hAnsi="仿宋_GB2312" w:eastAsia="仿宋_GB2312" w:cs="仿宋_GB2312"/>
          <w:b/>
          <w:bCs/>
          <w:sz w:val="30"/>
          <w:szCs w:val="30"/>
          <w:lang w:eastAsia="zh-CN"/>
        </w:rPr>
        <w:t>（</w:t>
      </w:r>
      <w:r>
        <w:rPr>
          <w:rFonts w:hint="eastAsia" w:ascii="仿宋_GB2312" w:hAnsi="仿宋_GB2312" w:eastAsia="仿宋_GB2312" w:cs="仿宋_GB2312"/>
          <w:b/>
          <w:bCs/>
          <w:sz w:val="30"/>
          <w:szCs w:val="30"/>
          <w:lang w:val="en-US" w:eastAsia="zh-CN"/>
        </w:rPr>
        <w:t>三）</w:t>
      </w:r>
      <w:r>
        <w:rPr>
          <w:rFonts w:hint="eastAsia" w:ascii="仿宋_GB2312" w:hAnsi="仿宋_GB2312" w:eastAsia="仿宋_GB2312" w:cs="仿宋_GB2312"/>
          <w:b/>
          <w:bCs/>
          <w:sz w:val="30"/>
          <w:szCs w:val="30"/>
        </w:rPr>
        <w:t>校级初赛</w:t>
      </w:r>
      <w:bookmarkStart w:id="0" w:name="_GoBack"/>
      <w:bookmarkEnd w:id="0"/>
    </w:p>
    <w:p w14:paraId="5F4EC954">
      <w:pPr>
        <w:pStyle w:val="6"/>
        <w:keepNext w:val="0"/>
        <w:keepLines w:val="0"/>
        <w:pageBreakBefore w:val="0"/>
        <w:widowControl/>
        <w:kinsoku/>
        <w:wordWrap w:val="0"/>
        <w:overflowPunct/>
        <w:topLinePunct w:val="0"/>
        <w:autoSpaceDE/>
        <w:autoSpaceDN/>
        <w:bidi w:val="0"/>
        <w:adjustRightInd/>
        <w:snapToGrid/>
        <w:spacing w:beforeAutospacing="0" w:afterAutospacing="0" w:line="540" w:lineRule="exact"/>
        <w:ind w:firstLine="600" w:firstLineChars="200"/>
        <w:jc w:val="both"/>
        <w:textAlignment w:val="auto"/>
        <w:rPr>
          <w:rFonts w:hint="eastAsia" w:ascii="仿宋_GB2312" w:hAnsi="仿宋_GB2312" w:eastAsia="仿宋_GB2312" w:cs="仿宋_GB2312"/>
          <w:b/>
          <w:bCs/>
          <w:sz w:val="30"/>
          <w:szCs w:val="30"/>
        </w:rPr>
      </w:pPr>
      <w:r>
        <w:rPr>
          <w:rFonts w:hint="eastAsia" w:ascii="仿宋_GB2312" w:hAnsi="仿宋_GB2312" w:eastAsia="仿宋_GB2312" w:cs="仿宋_GB2312"/>
          <w:sz w:val="30"/>
          <w:szCs w:val="30"/>
        </w:rPr>
        <w:t>12月</w:t>
      </w:r>
      <w:r>
        <w:rPr>
          <w:rFonts w:hint="eastAsia" w:ascii="仿宋_GB2312" w:hAnsi="仿宋_GB2312" w:eastAsia="仿宋_GB2312" w:cs="仿宋_GB2312"/>
          <w:sz w:val="30"/>
          <w:szCs w:val="30"/>
          <w:lang w:val="en-US" w:eastAsia="zh-CN"/>
        </w:rPr>
        <w:t>12</w:t>
      </w:r>
      <w:r>
        <w:rPr>
          <w:rFonts w:hint="eastAsia" w:ascii="仿宋_GB2312" w:hAnsi="仿宋_GB2312" w:eastAsia="仿宋_GB2312" w:cs="仿宋_GB2312"/>
          <w:sz w:val="30"/>
          <w:szCs w:val="30"/>
        </w:rPr>
        <w:t>日（暂定），具体时间以通知为准。学校将根据各院（部）、书院推荐进入校赛的参赛选手提交的参赛材料，邀请相关专家、用人单位等组成评审团对学生参赛作品进行线上材料评审，择优评选出成长赛道、就业赛道选手参加校级决赛。</w:t>
      </w:r>
    </w:p>
    <w:p w14:paraId="7FF66CC9">
      <w:pPr>
        <w:pStyle w:val="6"/>
        <w:keepNext w:val="0"/>
        <w:keepLines w:val="0"/>
        <w:pageBreakBefore w:val="0"/>
        <w:widowControl/>
        <w:numPr>
          <w:ilvl w:val="0"/>
          <w:numId w:val="0"/>
        </w:numPr>
        <w:kinsoku/>
        <w:wordWrap w:val="0"/>
        <w:overflowPunct/>
        <w:topLinePunct w:val="0"/>
        <w:autoSpaceDE/>
        <w:autoSpaceDN/>
        <w:bidi w:val="0"/>
        <w:adjustRightInd/>
        <w:snapToGrid/>
        <w:spacing w:beforeAutospacing="0" w:afterAutospacing="0" w:line="540" w:lineRule="exact"/>
        <w:ind w:firstLine="602" w:firstLineChars="200"/>
        <w:jc w:val="both"/>
        <w:textAlignment w:val="auto"/>
        <w:rPr>
          <w:rFonts w:hint="eastAsia" w:ascii="仿宋_GB2312" w:hAnsi="仿宋_GB2312" w:eastAsia="仿宋_GB2312" w:cs="仿宋_GB2312"/>
          <w:b/>
          <w:bCs/>
          <w:sz w:val="30"/>
          <w:szCs w:val="30"/>
        </w:rPr>
      </w:pPr>
      <w:r>
        <w:rPr>
          <w:rFonts w:hint="eastAsia" w:ascii="仿宋_GB2312" w:hAnsi="仿宋_GB2312" w:eastAsia="仿宋_GB2312" w:cs="仿宋_GB2312"/>
          <w:b/>
          <w:bCs/>
          <w:sz w:val="30"/>
          <w:szCs w:val="30"/>
          <w:lang w:eastAsia="zh-CN"/>
        </w:rPr>
        <w:t>（</w:t>
      </w:r>
      <w:r>
        <w:rPr>
          <w:rFonts w:hint="eastAsia" w:ascii="仿宋_GB2312" w:hAnsi="仿宋_GB2312" w:eastAsia="仿宋_GB2312" w:cs="仿宋_GB2312"/>
          <w:b/>
          <w:bCs/>
          <w:sz w:val="30"/>
          <w:szCs w:val="30"/>
          <w:lang w:val="en-US" w:eastAsia="zh-CN"/>
        </w:rPr>
        <w:t>四）</w:t>
      </w:r>
      <w:r>
        <w:rPr>
          <w:rFonts w:hint="eastAsia" w:ascii="仿宋_GB2312" w:hAnsi="仿宋_GB2312" w:eastAsia="仿宋_GB2312" w:cs="仿宋_GB2312"/>
          <w:b/>
          <w:bCs/>
          <w:sz w:val="30"/>
          <w:szCs w:val="30"/>
        </w:rPr>
        <w:t>校级决赛</w:t>
      </w:r>
    </w:p>
    <w:p w14:paraId="14845C12">
      <w:pPr>
        <w:pStyle w:val="6"/>
        <w:keepNext w:val="0"/>
        <w:keepLines w:val="0"/>
        <w:pageBreakBefore w:val="0"/>
        <w:widowControl/>
        <w:kinsoku/>
        <w:wordWrap w:val="0"/>
        <w:overflowPunct/>
        <w:topLinePunct w:val="0"/>
        <w:autoSpaceDE/>
        <w:autoSpaceDN/>
        <w:bidi w:val="0"/>
        <w:adjustRightInd/>
        <w:snapToGrid/>
        <w:spacing w:beforeAutospacing="0" w:afterAutospacing="0" w:line="540" w:lineRule="exact"/>
        <w:ind w:firstLine="600" w:firstLineChars="200"/>
        <w:jc w:val="both"/>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12月</w:t>
      </w:r>
      <w:r>
        <w:rPr>
          <w:rFonts w:hint="eastAsia" w:ascii="仿宋_GB2312" w:hAnsi="仿宋_GB2312" w:eastAsia="仿宋_GB2312" w:cs="仿宋_GB2312"/>
          <w:sz w:val="30"/>
          <w:szCs w:val="30"/>
          <w:lang w:val="en-US" w:eastAsia="zh-CN"/>
        </w:rPr>
        <w:t>27</w:t>
      </w:r>
      <w:r>
        <w:rPr>
          <w:rFonts w:hint="eastAsia" w:ascii="仿宋_GB2312" w:hAnsi="仿宋_GB2312" w:eastAsia="仿宋_GB2312" w:cs="仿宋_GB2312"/>
          <w:sz w:val="30"/>
          <w:szCs w:val="30"/>
        </w:rPr>
        <w:t>日（暂定），具体时间以正式通知为准。进入校级决赛的选手进行现场评审，根据河南省大赛组委会的有关要求和分配名额，择优推荐选手代表学校参加河南</w:t>
      </w:r>
      <w:r>
        <w:rPr>
          <w:rFonts w:hint="eastAsia" w:ascii="仿宋_GB2312" w:hAnsi="仿宋_GB2312" w:eastAsia="仿宋_GB2312" w:cs="仿宋_GB2312"/>
          <w:sz w:val="30"/>
          <w:szCs w:val="30"/>
          <w:lang w:val="en-US" w:eastAsia="zh-CN"/>
        </w:rPr>
        <w:t>省</w:t>
      </w:r>
      <w:r>
        <w:rPr>
          <w:rFonts w:hint="eastAsia" w:ascii="仿宋_GB2312" w:hAnsi="仿宋_GB2312" w:eastAsia="仿宋_GB2312" w:cs="仿宋_GB2312"/>
          <w:sz w:val="30"/>
          <w:szCs w:val="30"/>
        </w:rPr>
        <w:t>省赛。</w:t>
      </w:r>
    </w:p>
    <w:p w14:paraId="7E634ED3">
      <w:pPr>
        <w:pStyle w:val="6"/>
        <w:keepNext w:val="0"/>
        <w:keepLines w:val="0"/>
        <w:pageBreakBefore w:val="0"/>
        <w:widowControl/>
        <w:kinsoku/>
        <w:wordWrap w:val="0"/>
        <w:overflowPunct/>
        <w:topLinePunct w:val="0"/>
        <w:autoSpaceDE/>
        <w:autoSpaceDN/>
        <w:bidi w:val="0"/>
        <w:adjustRightInd/>
        <w:snapToGrid/>
        <w:spacing w:beforeAutospacing="0" w:afterAutospacing="0" w:line="550" w:lineRule="exact"/>
        <w:ind w:firstLine="602" w:firstLineChars="200"/>
        <w:jc w:val="both"/>
        <w:textAlignment w:val="auto"/>
        <w:rPr>
          <w:rStyle w:val="9"/>
          <w:rFonts w:hint="eastAsia" w:ascii="仿宋_GB2312" w:hAnsi="仿宋_GB2312" w:eastAsia="仿宋_GB2312" w:cs="仿宋_GB2312"/>
          <w:color w:val="000000"/>
          <w:sz w:val="30"/>
          <w:szCs w:val="30"/>
        </w:rPr>
      </w:pPr>
      <w:r>
        <w:rPr>
          <w:rStyle w:val="9"/>
          <w:rFonts w:hint="eastAsia" w:ascii="仿宋_GB2312" w:hAnsi="仿宋_GB2312" w:eastAsia="仿宋_GB2312" w:cs="仿宋_GB2312"/>
          <w:color w:val="000000"/>
          <w:sz w:val="30"/>
          <w:szCs w:val="30"/>
        </w:rPr>
        <w:t>1.校级决赛安排</w:t>
      </w:r>
    </w:p>
    <w:p w14:paraId="3493CC0E">
      <w:pPr>
        <w:pStyle w:val="6"/>
        <w:keepNext w:val="0"/>
        <w:keepLines w:val="0"/>
        <w:pageBreakBefore w:val="0"/>
        <w:widowControl/>
        <w:kinsoku/>
        <w:wordWrap w:val="0"/>
        <w:overflowPunct/>
        <w:topLinePunct w:val="0"/>
        <w:autoSpaceDE/>
        <w:autoSpaceDN/>
        <w:bidi w:val="0"/>
        <w:adjustRightInd/>
        <w:snapToGrid/>
        <w:spacing w:beforeAutospacing="0" w:afterAutospacing="0" w:line="550" w:lineRule="exact"/>
        <w:ind w:firstLine="602" w:firstLineChars="200"/>
        <w:jc w:val="both"/>
        <w:textAlignment w:val="auto"/>
        <w:rPr>
          <w:rFonts w:hint="eastAsia" w:ascii="仿宋_GB2312" w:hAnsi="仿宋_GB2312" w:eastAsia="仿宋_GB2312" w:cs="仿宋_GB2312"/>
          <w:b/>
          <w:bCs/>
          <w:color w:val="000000"/>
          <w:sz w:val="30"/>
          <w:szCs w:val="30"/>
        </w:rPr>
      </w:pPr>
      <w:r>
        <w:rPr>
          <w:rFonts w:hint="eastAsia" w:ascii="仿宋_GB2312" w:hAnsi="仿宋_GB2312" w:eastAsia="仿宋_GB2312" w:cs="仿宋_GB2312"/>
          <w:b/>
          <w:bCs/>
          <w:color w:val="000000"/>
          <w:sz w:val="30"/>
          <w:szCs w:val="30"/>
        </w:rPr>
        <w:t>（</w:t>
      </w:r>
      <w:r>
        <w:rPr>
          <w:rFonts w:hint="eastAsia" w:ascii="仿宋_GB2312" w:hAnsi="仿宋_GB2312" w:eastAsia="仿宋_GB2312" w:cs="仿宋_GB2312"/>
          <w:b/>
          <w:bCs/>
          <w:color w:val="000000"/>
          <w:sz w:val="30"/>
          <w:szCs w:val="30"/>
          <w:lang w:val="en-US" w:eastAsia="zh-CN"/>
        </w:rPr>
        <w:t>1</w:t>
      </w:r>
      <w:r>
        <w:rPr>
          <w:rFonts w:hint="eastAsia" w:ascii="仿宋_GB2312" w:hAnsi="仿宋_GB2312" w:eastAsia="仿宋_GB2312" w:cs="仿宋_GB2312"/>
          <w:b/>
          <w:bCs/>
          <w:color w:val="000000"/>
          <w:sz w:val="30"/>
          <w:szCs w:val="30"/>
        </w:rPr>
        <w:t>）成长赛道</w:t>
      </w:r>
    </w:p>
    <w:p w14:paraId="5359D442">
      <w:pPr>
        <w:pStyle w:val="6"/>
        <w:keepNext w:val="0"/>
        <w:keepLines w:val="0"/>
        <w:pageBreakBefore w:val="0"/>
        <w:widowControl/>
        <w:kinsoku/>
        <w:wordWrap w:val="0"/>
        <w:overflowPunct/>
        <w:topLinePunct w:val="0"/>
        <w:autoSpaceDE/>
        <w:autoSpaceDN/>
        <w:bidi w:val="0"/>
        <w:adjustRightInd/>
        <w:snapToGrid/>
        <w:spacing w:beforeAutospacing="0" w:afterAutospacing="0" w:line="550" w:lineRule="exact"/>
        <w:ind w:firstLine="600" w:firstLineChars="200"/>
        <w:jc w:val="both"/>
        <w:textAlignment w:val="auto"/>
        <w:rPr>
          <w:rFonts w:hint="eastAsia" w:ascii="仿宋_GB2312" w:hAnsi="仿宋_GB2312" w:eastAsia="仿宋_GB2312" w:cs="仿宋_GB2312"/>
          <w:color w:val="000000"/>
          <w:sz w:val="30"/>
          <w:szCs w:val="30"/>
        </w:rPr>
      </w:pPr>
      <w:r>
        <w:rPr>
          <w:rFonts w:hint="eastAsia" w:ascii="仿宋_GB2312" w:hAnsi="仿宋_GB2312" w:eastAsia="仿宋_GB2312" w:cs="仿宋_GB2312"/>
          <w:color w:val="000000"/>
          <w:sz w:val="30"/>
          <w:szCs w:val="30"/>
        </w:rPr>
        <w:t>设主题陈述、评委提问和天降实习offer（实习意向）环节。</w:t>
      </w:r>
    </w:p>
    <w:p w14:paraId="2E03F9EC">
      <w:pPr>
        <w:pStyle w:val="6"/>
        <w:keepNext w:val="0"/>
        <w:keepLines w:val="0"/>
        <w:pageBreakBefore w:val="0"/>
        <w:widowControl/>
        <w:kinsoku/>
        <w:wordWrap w:val="0"/>
        <w:overflowPunct/>
        <w:topLinePunct w:val="0"/>
        <w:autoSpaceDE/>
        <w:autoSpaceDN/>
        <w:bidi w:val="0"/>
        <w:adjustRightInd/>
        <w:snapToGrid/>
        <w:spacing w:beforeAutospacing="0" w:afterAutospacing="0" w:line="550" w:lineRule="exact"/>
        <w:ind w:firstLine="600" w:firstLineChars="200"/>
        <w:jc w:val="both"/>
        <w:textAlignment w:val="auto"/>
        <w:rPr>
          <w:rFonts w:hint="eastAsia" w:ascii="仿宋_GB2312" w:hAnsi="仿宋_GB2312" w:eastAsia="仿宋_GB2312" w:cs="仿宋_GB2312"/>
          <w:color w:val="000000"/>
          <w:sz w:val="30"/>
          <w:szCs w:val="30"/>
        </w:rPr>
      </w:pPr>
      <w:r>
        <w:rPr>
          <w:rFonts w:hint="eastAsia" w:ascii="仿宋_GB2312" w:hAnsi="仿宋_GB2312" w:eastAsia="仿宋_GB2312" w:cs="仿宋_GB2312"/>
          <w:color w:val="000000"/>
          <w:sz w:val="30"/>
          <w:szCs w:val="30"/>
        </w:rPr>
        <w:t>主题陈述（</w:t>
      </w:r>
      <w:r>
        <w:rPr>
          <w:rFonts w:hint="eastAsia" w:ascii="仿宋_GB2312" w:hAnsi="仿宋_GB2312" w:eastAsia="仿宋_GB2312" w:cs="仿宋_GB2312"/>
          <w:color w:val="000000"/>
          <w:sz w:val="30"/>
          <w:szCs w:val="30"/>
          <w:lang w:eastAsia="zh"/>
        </w:rPr>
        <w:t>7</w:t>
      </w:r>
      <w:r>
        <w:rPr>
          <w:rFonts w:hint="eastAsia" w:ascii="仿宋_GB2312" w:hAnsi="仿宋_GB2312" w:eastAsia="仿宋_GB2312" w:cs="仿宋_GB2312"/>
          <w:color w:val="000000"/>
          <w:sz w:val="30"/>
          <w:szCs w:val="30"/>
        </w:rPr>
        <w:t>分钟）：选手结合生涯发展报告</w:t>
      </w:r>
      <w:r>
        <w:rPr>
          <w:rFonts w:hint="eastAsia" w:ascii="仿宋_GB2312" w:hAnsi="仿宋_GB2312" w:eastAsia="仿宋_GB2312" w:cs="仿宋_GB2312"/>
          <w:color w:val="000000"/>
          <w:sz w:val="30"/>
          <w:szCs w:val="30"/>
          <w:lang w:eastAsia="zh"/>
        </w:rPr>
        <w:t>作陈述</w:t>
      </w:r>
      <w:r>
        <w:rPr>
          <w:rFonts w:hint="eastAsia" w:ascii="仿宋_GB2312" w:hAnsi="仿宋_GB2312" w:eastAsia="仿宋_GB2312" w:cs="仿宋_GB2312"/>
          <w:color w:val="000000"/>
          <w:sz w:val="30"/>
          <w:szCs w:val="30"/>
        </w:rPr>
        <w:t>。</w:t>
      </w:r>
    </w:p>
    <w:p w14:paraId="4598B6A0">
      <w:pPr>
        <w:pStyle w:val="6"/>
        <w:keepNext w:val="0"/>
        <w:keepLines w:val="0"/>
        <w:pageBreakBefore w:val="0"/>
        <w:widowControl/>
        <w:kinsoku/>
        <w:wordWrap w:val="0"/>
        <w:overflowPunct/>
        <w:topLinePunct w:val="0"/>
        <w:autoSpaceDE/>
        <w:autoSpaceDN/>
        <w:bidi w:val="0"/>
        <w:adjustRightInd/>
        <w:snapToGrid/>
        <w:spacing w:beforeAutospacing="0" w:afterAutospacing="0" w:line="550" w:lineRule="exact"/>
        <w:ind w:firstLine="600" w:firstLineChars="200"/>
        <w:jc w:val="both"/>
        <w:textAlignment w:val="auto"/>
        <w:rPr>
          <w:rFonts w:hint="eastAsia" w:ascii="仿宋_GB2312" w:hAnsi="仿宋_GB2312" w:eastAsia="仿宋_GB2312" w:cs="仿宋_GB2312"/>
          <w:color w:val="000000"/>
          <w:sz w:val="30"/>
          <w:szCs w:val="30"/>
        </w:rPr>
      </w:pPr>
      <w:r>
        <w:rPr>
          <w:rFonts w:hint="eastAsia" w:ascii="仿宋_GB2312" w:hAnsi="仿宋_GB2312" w:eastAsia="仿宋_GB2312" w:cs="仿宋_GB2312"/>
          <w:color w:val="000000"/>
          <w:sz w:val="30"/>
          <w:szCs w:val="30"/>
        </w:rPr>
        <w:t>评委提问（5分钟）：评委结合选手陈述和现场表现进行提问。</w:t>
      </w:r>
    </w:p>
    <w:p w14:paraId="1FC22A1F">
      <w:pPr>
        <w:pStyle w:val="6"/>
        <w:keepNext w:val="0"/>
        <w:keepLines w:val="0"/>
        <w:pageBreakBefore w:val="0"/>
        <w:widowControl/>
        <w:kinsoku/>
        <w:wordWrap w:val="0"/>
        <w:overflowPunct/>
        <w:topLinePunct w:val="0"/>
        <w:autoSpaceDE/>
        <w:autoSpaceDN/>
        <w:bidi w:val="0"/>
        <w:adjustRightInd/>
        <w:snapToGrid/>
        <w:spacing w:beforeAutospacing="0" w:afterAutospacing="0" w:line="550" w:lineRule="exact"/>
        <w:ind w:firstLine="600" w:firstLineChars="200"/>
        <w:jc w:val="both"/>
        <w:textAlignment w:val="auto"/>
        <w:rPr>
          <w:rFonts w:hint="eastAsia" w:ascii="仿宋_GB2312" w:hAnsi="仿宋_GB2312" w:eastAsia="仿宋_GB2312" w:cs="仿宋_GB2312"/>
          <w:color w:val="000000"/>
          <w:sz w:val="30"/>
          <w:szCs w:val="30"/>
        </w:rPr>
      </w:pPr>
      <w:r>
        <w:rPr>
          <w:rFonts w:hint="eastAsia" w:ascii="仿宋_GB2312" w:hAnsi="仿宋_GB2312" w:eastAsia="仿宋_GB2312" w:cs="仿宋_GB2312"/>
          <w:color w:val="000000"/>
          <w:sz w:val="30"/>
          <w:szCs w:val="30"/>
        </w:rPr>
        <w:t>天降实习offer（</w:t>
      </w:r>
      <w:r>
        <w:rPr>
          <w:rFonts w:hint="eastAsia" w:ascii="仿宋_GB2312" w:hAnsi="仿宋_GB2312" w:eastAsia="仿宋_GB2312" w:cs="仿宋_GB2312"/>
          <w:color w:val="000000"/>
          <w:sz w:val="30"/>
          <w:szCs w:val="30"/>
          <w:lang w:eastAsia="zh"/>
        </w:rPr>
        <w:t>2</w:t>
      </w:r>
      <w:r>
        <w:rPr>
          <w:rFonts w:hint="eastAsia" w:ascii="仿宋_GB2312" w:hAnsi="仿宋_GB2312" w:eastAsia="仿宋_GB2312" w:cs="仿宋_GB2312"/>
          <w:color w:val="000000"/>
          <w:sz w:val="30"/>
          <w:szCs w:val="30"/>
        </w:rPr>
        <w:t>分钟）：用人单位根据选手表现，决定是否给出实习意向</w:t>
      </w:r>
      <w:r>
        <w:rPr>
          <w:rFonts w:hint="eastAsia" w:ascii="仿宋_GB2312" w:hAnsi="仿宋_GB2312" w:eastAsia="仿宋_GB2312" w:cs="仿宋_GB2312"/>
          <w:color w:val="000000"/>
          <w:sz w:val="30"/>
          <w:szCs w:val="30"/>
          <w:lang w:eastAsia="zh-CN"/>
        </w:rPr>
        <w:t>，</w:t>
      </w:r>
      <w:r>
        <w:rPr>
          <w:rFonts w:hint="eastAsia" w:ascii="仿宋_GB2312" w:hAnsi="仿宋_GB2312" w:eastAsia="仿宋_GB2312" w:cs="仿宋_GB2312"/>
          <w:color w:val="000000"/>
          <w:sz w:val="30"/>
          <w:szCs w:val="30"/>
        </w:rPr>
        <w:t>并对选手</w:t>
      </w:r>
      <w:r>
        <w:rPr>
          <w:rFonts w:hint="eastAsia" w:ascii="仿宋_GB2312" w:hAnsi="仿宋_GB2312" w:eastAsia="仿宋_GB2312" w:cs="仿宋_GB2312"/>
          <w:color w:val="000000"/>
          <w:sz w:val="30"/>
          <w:szCs w:val="30"/>
          <w:lang w:eastAsia="zh-CN"/>
        </w:rPr>
        <w:t>做</w:t>
      </w:r>
      <w:r>
        <w:rPr>
          <w:rFonts w:hint="eastAsia" w:ascii="仿宋_GB2312" w:hAnsi="仿宋_GB2312" w:eastAsia="仿宋_GB2312" w:cs="仿宋_GB2312"/>
          <w:color w:val="000000"/>
          <w:sz w:val="30"/>
          <w:szCs w:val="30"/>
        </w:rPr>
        <w:t>点评。</w:t>
      </w:r>
    </w:p>
    <w:p w14:paraId="48C0DFCB">
      <w:pPr>
        <w:pStyle w:val="6"/>
        <w:keepNext w:val="0"/>
        <w:keepLines w:val="0"/>
        <w:pageBreakBefore w:val="0"/>
        <w:widowControl/>
        <w:numPr>
          <w:ilvl w:val="0"/>
          <w:numId w:val="0"/>
        </w:numPr>
        <w:kinsoku/>
        <w:wordWrap w:val="0"/>
        <w:overflowPunct/>
        <w:topLinePunct w:val="0"/>
        <w:autoSpaceDE/>
        <w:autoSpaceDN/>
        <w:bidi w:val="0"/>
        <w:adjustRightInd/>
        <w:snapToGrid/>
        <w:spacing w:beforeAutospacing="0" w:afterAutospacing="0" w:line="550" w:lineRule="exact"/>
        <w:ind w:firstLine="602" w:firstLineChars="200"/>
        <w:jc w:val="both"/>
        <w:textAlignment w:val="auto"/>
        <w:rPr>
          <w:rFonts w:hint="eastAsia" w:ascii="仿宋_GB2312" w:hAnsi="仿宋_GB2312" w:eastAsia="仿宋_GB2312" w:cs="仿宋_GB2312"/>
          <w:color w:val="000000"/>
          <w:sz w:val="30"/>
          <w:szCs w:val="30"/>
        </w:rPr>
      </w:pPr>
      <w:r>
        <w:rPr>
          <w:rFonts w:hint="eastAsia" w:ascii="仿宋_GB2312" w:hAnsi="仿宋_GB2312" w:eastAsia="仿宋_GB2312" w:cs="仿宋_GB2312"/>
          <w:b/>
          <w:bCs/>
          <w:color w:val="000000"/>
          <w:sz w:val="30"/>
          <w:szCs w:val="30"/>
          <w:lang w:eastAsia="zh-CN"/>
        </w:rPr>
        <w:t>（</w:t>
      </w:r>
      <w:r>
        <w:rPr>
          <w:rFonts w:hint="eastAsia" w:ascii="仿宋_GB2312" w:hAnsi="仿宋_GB2312" w:eastAsia="仿宋_GB2312" w:cs="仿宋_GB2312"/>
          <w:b/>
          <w:bCs/>
          <w:color w:val="000000"/>
          <w:sz w:val="30"/>
          <w:szCs w:val="30"/>
          <w:lang w:val="en-US" w:eastAsia="zh-CN"/>
        </w:rPr>
        <w:t>2）</w:t>
      </w:r>
      <w:r>
        <w:rPr>
          <w:rFonts w:hint="eastAsia" w:ascii="仿宋_GB2312" w:hAnsi="仿宋_GB2312" w:eastAsia="仿宋_GB2312" w:cs="仿宋_GB2312"/>
          <w:b/>
          <w:bCs/>
          <w:color w:val="000000"/>
          <w:sz w:val="30"/>
          <w:szCs w:val="30"/>
        </w:rPr>
        <w:t>就业赛道（分为本科</w:t>
      </w:r>
      <w:r>
        <w:rPr>
          <w:rFonts w:hint="eastAsia" w:ascii="仿宋_GB2312" w:hAnsi="仿宋_GB2312" w:eastAsia="仿宋_GB2312" w:cs="仿宋_GB2312"/>
          <w:b/>
          <w:bCs/>
          <w:color w:val="000000"/>
          <w:sz w:val="30"/>
          <w:szCs w:val="30"/>
          <w:lang w:val="en-US" w:eastAsia="zh-CN"/>
        </w:rPr>
        <w:t>生</w:t>
      </w:r>
      <w:r>
        <w:rPr>
          <w:rFonts w:hint="eastAsia" w:ascii="仿宋_GB2312" w:hAnsi="仿宋_GB2312" w:eastAsia="仿宋_GB2312" w:cs="仿宋_GB2312"/>
          <w:b/>
          <w:bCs/>
          <w:color w:val="000000"/>
          <w:sz w:val="30"/>
          <w:szCs w:val="30"/>
        </w:rPr>
        <w:t>组和研究生组）</w:t>
      </w:r>
    </w:p>
    <w:p w14:paraId="66573885">
      <w:pPr>
        <w:pStyle w:val="6"/>
        <w:keepNext w:val="0"/>
        <w:keepLines w:val="0"/>
        <w:pageBreakBefore w:val="0"/>
        <w:widowControl/>
        <w:kinsoku/>
        <w:wordWrap w:val="0"/>
        <w:overflowPunct/>
        <w:topLinePunct w:val="0"/>
        <w:autoSpaceDE/>
        <w:autoSpaceDN/>
        <w:bidi w:val="0"/>
        <w:adjustRightInd/>
        <w:snapToGrid/>
        <w:spacing w:beforeAutospacing="0" w:afterAutospacing="0" w:line="550" w:lineRule="exact"/>
        <w:ind w:firstLine="600" w:firstLineChars="200"/>
        <w:jc w:val="both"/>
        <w:textAlignment w:val="auto"/>
        <w:rPr>
          <w:rFonts w:hint="eastAsia" w:ascii="仿宋_GB2312" w:hAnsi="仿宋_GB2312" w:eastAsia="仿宋_GB2312" w:cs="仿宋_GB2312"/>
          <w:color w:val="000000"/>
          <w:sz w:val="30"/>
          <w:szCs w:val="30"/>
        </w:rPr>
      </w:pPr>
      <w:r>
        <w:rPr>
          <w:rFonts w:hint="eastAsia" w:ascii="仿宋_GB2312" w:hAnsi="仿宋_GB2312" w:eastAsia="仿宋_GB2312" w:cs="仿宋_GB2312"/>
          <w:color w:val="000000"/>
          <w:sz w:val="30"/>
          <w:szCs w:val="30"/>
        </w:rPr>
        <w:t>设主题陈述、综合面试、天降offer（录用意向）环节。</w:t>
      </w:r>
    </w:p>
    <w:p w14:paraId="360CC72F">
      <w:pPr>
        <w:pStyle w:val="6"/>
        <w:keepNext w:val="0"/>
        <w:keepLines w:val="0"/>
        <w:pageBreakBefore w:val="0"/>
        <w:widowControl/>
        <w:kinsoku/>
        <w:wordWrap w:val="0"/>
        <w:overflowPunct/>
        <w:topLinePunct w:val="0"/>
        <w:autoSpaceDE/>
        <w:autoSpaceDN/>
        <w:bidi w:val="0"/>
        <w:adjustRightInd/>
        <w:snapToGrid/>
        <w:spacing w:beforeAutospacing="0" w:afterAutospacing="0" w:line="550" w:lineRule="exact"/>
        <w:ind w:firstLine="600" w:firstLineChars="200"/>
        <w:jc w:val="both"/>
        <w:textAlignment w:val="auto"/>
        <w:rPr>
          <w:rFonts w:hint="eastAsia" w:ascii="仿宋_GB2312" w:hAnsi="仿宋_GB2312" w:eastAsia="仿宋_GB2312" w:cs="仿宋_GB2312"/>
          <w:color w:val="000000"/>
          <w:sz w:val="30"/>
          <w:szCs w:val="30"/>
        </w:rPr>
      </w:pPr>
      <w:r>
        <w:rPr>
          <w:rFonts w:hint="eastAsia" w:ascii="仿宋_GB2312" w:hAnsi="仿宋_GB2312" w:eastAsia="仿宋_GB2312" w:cs="仿宋_GB2312"/>
          <w:color w:val="000000"/>
          <w:sz w:val="30"/>
          <w:szCs w:val="30"/>
        </w:rPr>
        <w:t>主题陈述（</w:t>
      </w:r>
      <w:r>
        <w:rPr>
          <w:rFonts w:hint="eastAsia" w:ascii="仿宋_GB2312" w:hAnsi="仿宋_GB2312" w:eastAsia="仿宋_GB2312" w:cs="仿宋_GB2312"/>
          <w:color w:val="000000"/>
          <w:sz w:val="30"/>
          <w:szCs w:val="30"/>
          <w:lang w:eastAsia="zh"/>
        </w:rPr>
        <w:t>6</w:t>
      </w:r>
      <w:r>
        <w:rPr>
          <w:rFonts w:hint="eastAsia" w:ascii="仿宋_GB2312" w:hAnsi="仿宋_GB2312" w:eastAsia="仿宋_GB2312" w:cs="仿宋_GB2312"/>
          <w:color w:val="000000"/>
          <w:sz w:val="30"/>
          <w:szCs w:val="30"/>
        </w:rPr>
        <w:t>分钟）：选手结合求职综合展示PPT</w:t>
      </w:r>
      <w:r>
        <w:rPr>
          <w:rFonts w:hint="eastAsia" w:ascii="仿宋_GB2312" w:hAnsi="仿宋_GB2312" w:eastAsia="仿宋_GB2312" w:cs="仿宋_GB2312"/>
          <w:color w:val="000000"/>
          <w:sz w:val="30"/>
          <w:szCs w:val="30"/>
          <w:lang w:eastAsia="zh-CN"/>
        </w:rPr>
        <w:t>，</w:t>
      </w:r>
      <w:r>
        <w:rPr>
          <w:rFonts w:hint="eastAsia" w:ascii="仿宋_GB2312" w:hAnsi="仿宋_GB2312" w:eastAsia="仿宋_GB2312" w:cs="仿宋_GB2312"/>
          <w:color w:val="000000"/>
          <w:sz w:val="30"/>
          <w:szCs w:val="30"/>
        </w:rPr>
        <w:t>陈述个人求职意向和职业准备情况。</w:t>
      </w:r>
    </w:p>
    <w:p w14:paraId="64D4F02F">
      <w:pPr>
        <w:pStyle w:val="6"/>
        <w:keepNext w:val="0"/>
        <w:keepLines w:val="0"/>
        <w:pageBreakBefore w:val="0"/>
        <w:widowControl/>
        <w:kinsoku/>
        <w:wordWrap w:val="0"/>
        <w:overflowPunct/>
        <w:topLinePunct w:val="0"/>
        <w:autoSpaceDE/>
        <w:autoSpaceDN/>
        <w:bidi w:val="0"/>
        <w:adjustRightInd/>
        <w:snapToGrid/>
        <w:spacing w:beforeAutospacing="0" w:afterAutospacing="0" w:line="550" w:lineRule="exact"/>
        <w:ind w:firstLine="600" w:firstLineChars="200"/>
        <w:jc w:val="both"/>
        <w:textAlignment w:val="auto"/>
        <w:rPr>
          <w:rFonts w:hint="eastAsia" w:ascii="仿宋_GB2312" w:hAnsi="仿宋_GB2312" w:eastAsia="仿宋_GB2312" w:cs="仿宋_GB2312"/>
          <w:color w:val="000000"/>
          <w:sz w:val="30"/>
          <w:szCs w:val="30"/>
        </w:rPr>
      </w:pPr>
      <w:r>
        <w:rPr>
          <w:rFonts w:hint="eastAsia" w:ascii="仿宋_GB2312" w:hAnsi="仿宋_GB2312" w:eastAsia="仿宋_GB2312" w:cs="仿宋_GB2312"/>
          <w:color w:val="000000"/>
          <w:sz w:val="30"/>
          <w:szCs w:val="30"/>
        </w:rPr>
        <w:t>综合面试</w:t>
      </w:r>
      <w:r>
        <w:rPr>
          <w:rFonts w:hint="eastAsia" w:ascii="仿宋_GB2312" w:hAnsi="仿宋_GB2312" w:eastAsia="仿宋_GB2312" w:cs="仿宋_GB2312"/>
          <w:color w:val="000000"/>
          <w:sz w:val="30"/>
          <w:szCs w:val="30"/>
          <w:lang w:eastAsia="zh-CN"/>
        </w:rPr>
        <w:t>（</w:t>
      </w:r>
      <w:r>
        <w:rPr>
          <w:rFonts w:hint="eastAsia" w:ascii="仿宋_GB2312" w:hAnsi="仿宋_GB2312" w:eastAsia="仿宋_GB2312" w:cs="仿宋_GB2312"/>
          <w:color w:val="000000"/>
          <w:sz w:val="30"/>
          <w:szCs w:val="30"/>
          <w:lang w:eastAsia="zh"/>
        </w:rPr>
        <w:t>6</w:t>
      </w:r>
      <w:r>
        <w:rPr>
          <w:rFonts w:hint="eastAsia" w:ascii="仿宋_GB2312" w:hAnsi="仿宋_GB2312" w:eastAsia="仿宋_GB2312" w:cs="仿宋_GB2312"/>
          <w:color w:val="000000"/>
          <w:sz w:val="30"/>
          <w:szCs w:val="30"/>
        </w:rPr>
        <w:t>分钟</w:t>
      </w:r>
      <w:r>
        <w:rPr>
          <w:rFonts w:hint="eastAsia" w:ascii="仿宋_GB2312" w:hAnsi="仿宋_GB2312" w:eastAsia="仿宋_GB2312" w:cs="仿宋_GB2312"/>
          <w:color w:val="000000"/>
          <w:sz w:val="30"/>
          <w:szCs w:val="30"/>
          <w:lang w:eastAsia="zh-CN"/>
        </w:rPr>
        <w:t>）</w:t>
      </w:r>
      <w:r>
        <w:rPr>
          <w:rFonts w:hint="eastAsia" w:ascii="仿宋_GB2312" w:hAnsi="仿宋_GB2312" w:eastAsia="仿宋_GB2312" w:cs="仿宋_GB2312"/>
          <w:color w:val="000000"/>
          <w:sz w:val="30"/>
          <w:szCs w:val="30"/>
        </w:rPr>
        <w:t>：评委提出真实工作场景中可能遇到的问题</w:t>
      </w:r>
      <w:r>
        <w:rPr>
          <w:rFonts w:hint="eastAsia" w:ascii="仿宋_GB2312" w:hAnsi="仿宋_GB2312" w:eastAsia="仿宋_GB2312" w:cs="仿宋_GB2312"/>
          <w:color w:val="000000"/>
          <w:sz w:val="30"/>
          <w:szCs w:val="30"/>
          <w:lang w:eastAsia="zh-CN"/>
        </w:rPr>
        <w:t>，</w:t>
      </w:r>
      <w:r>
        <w:rPr>
          <w:rFonts w:hint="eastAsia" w:ascii="仿宋_GB2312" w:hAnsi="仿宋_GB2312" w:eastAsia="仿宋_GB2312" w:cs="仿宋_GB2312"/>
          <w:color w:val="000000"/>
          <w:sz w:val="30"/>
          <w:szCs w:val="30"/>
        </w:rPr>
        <w:t>选手提出解决方案</w:t>
      </w:r>
      <w:r>
        <w:rPr>
          <w:rFonts w:hint="eastAsia" w:ascii="仿宋_GB2312" w:hAnsi="仿宋_GB2312" w:eastAsia="仿宋_GB2312" w:cs="仿宋_GB2312"/>
          <w:color w:val="000000"/>
          <w:sz w:val="30"/>
          <w:szCs w:val="30"/>
          <w:lang w:eastAsia="zh-CN"/>
        </w:rPr>
        <w:t>；</w:t>
      </w:r>
      <w:r>
        <w:rPr>
          <w:rFonts w:hint="eastAsia" w:ascii="仿宋_GB2312" w:hAnsi="仿宋_GB2312" w:eastAsia="仿宋_GB2312" w:cs="仿宋_GB2312"/>
          <w:color w:val="000000"/>
          <w:sz w:val="30"/>
          <w:szCs w:val="30"/>
        </w:rPr>
        <w:t>评委结合选手陈述自由提问。</w:t>
      </w:r>
    </w:p>
    <w:p w14:paraId="301052CC">
      <w:pPr>
        <w:pStyle w:val="6"/>
        <w:keepNext w:val="0"/>
        <w:keepLines w:val="0"/>
        <w:pageBreakBefore w:val="0"/>
        <w:widowControl/>
        <w:kinsoku/>
        <w:wordWrap w:val="0"/>
        <w:overflowPunct/>
        <w:topLinePunct w:val="0"/>
        <w:autoSpaceDE/>
        <w:autoSpaceDN/>
        <w:bidi w:val="0"/>
        <w:adjustRightInd/>
        <w:snapToGrid/>
        <w:spacing w:beforeAutospacing="0" w:afterAutospacing="0" w:line="550" w:lineRule="exact"/>
        <w:ind w:firstLine="600" w:firstLineChars="200"/>
        <w:jc w:val="both"/>
        <w:textAlignment w:val="auto"/>
        <w:rPr>
          <w:rFonts w:hint="eastAsia" w:ascii="仿宋_GB2312" w:hAnsi="仿宋_GB2312" w:eastAsia="仿宋_GB2312" w:cs="仿宋_GB2312"/>
          <w:color w:val="000000"/>
          <w:sz w:val="30"/>
          <w:szCs w:val="30"/>
        </w:rPr>
      </w:pPr>
      <w:r>
        <w:rPr>
          <w:rFonts w:hint="eastAsia" w:ascii="仿宋_GB2312" w:hAnsi="仿宋_GB2312" w:eastAsia="仿宋_GB2312" w:cs="仿宋_GB2312"/>
          <w:color w:val="000000"/>
          <w:sz w:val="30"/>
          <w:szCs w:val="30"/>
        </w:rPr>
        <w:t>天降offer（</w:t>
      </w:r>
      <w:r>
        <w:rPr>
          <w:rFonts w:hint="eastAsia" w:ascii="仿宋_GB2312" w:hAnsi="仿宋_GB2312" w:eastAsia="仿宋_GB2312" w:cs="仿宋_GB2312"/>
          <w:color w:val="000000"/>
          <w:sz w:val="30"/>
          <w:szCs w:val="30"/>
          <w:lang w:eastAsia="zh"/>
        </w:rPr>
        <w:t>2</w:t>
      </w:r>
      <w:r>
        <w:rPr>
          <w:rFonts w:hint="eastAsia" w:ascii="仿宋_GB2312" w:hAnsi="仿宋_GB2312" w:eastAsia="仿宋_GB2312" w:cs="仿宋_GB2312"/>
          <w:color w:val="000000"/>
          <w:sz w:val="30"/>
          <w:szCs w:val="30"/>
        </w:rPr>
        <w:t>分钟）：用人单位根据选手表现</w:t>
      </w:r>
      <w:r>
        <w:rPr>
          <w:rFonts w:hint="eastAsia" w:ascii="仿宋_GB2312" w:hAnsi="仿宋_GB2312" w:eastAsia="仿宋_GB2312" w:cs="仿宋_GB2312"/>
          <w:color w:val="000000"/>
          <w:sz w:val="30"/>
          <w:szCs w:val="30"/>
          <w:lang w:eastAsia="zh-CN"/>
        </w:rPr>
        <w:t>，</w:t>
      </w:r>
      <w:r>
        <w:rPr>
          <w:rFonts w:hint="eastAsia" w:ascii="仿宋_GB2312" w:hAnsi="仿宋_GB2312" w:eastAsia="仿宋_GB2312" w:cs="仿宋_GB2312"/>
          <w:color w:val="000000"/>
          <w:sz w:val="30"/>
          <w:szCs w:val="30"/>
        </w:rPr>
        <w:t>决定是否给出录用意向，并对选手</w:t>
      </w:r>
      <w:r>
        <w:rPr>
          <w:rFonts w:hint="eastAsia" w:ascii="仿宋_GB2312" w:hAnsi="仿宋_GB2312" w:eastAsia="仿宋_GB2312" w:cs="仿宋_GB2312"/>
          <w:color w:val="000000"/>
          <w:sz w:val="30"/>
          <w:szCs w:val="30"/>
          <w:lang w:val="en-US" w:eastAsia="zh-CN"/>
        </w:rPr>
        <w:t>作</w:t>
      </w:r>
      <w:r>
        <w:rPr>
          <w:rFonts w:hint="eastAsia" w:ascii="仿宋_GB2312" w:hAnsi="仿宋_GB2312" w:eastAsia="仿宋_GB2312" w:cs="仿宋_GB2312"/>
          <w:color w:val="000000"/>
          <w:sz w:val="30"/>
          <w:szCs w:val="30"/>
        </w:rPr>
        <w:t>点评。</w:t>
      </w:r>
    </w:p>
    <w:p w14:paraId="4138B797">
      <w:pPr>
        <w:keepNext w:val="0"/>
        <w:keepLines w:val="0"/>
        <w:pageBreakBefore w:val="0"/>
        <w:widowControl w:val="0"/>
        <w:kinsoku/>
        <w:wordWrap/>
        <w:overflowPunct/>
        <w:topLinePunct w:val="0"/>
        <w:autoSpaceDE/>
        <w:autoSpaceDN/>
        <w:bidi w:val="0"/>
        <w:adjustRightInd/>
        <w:snapToGrid/>
        <w:spacing w:line="550" w:lineRule="exact"/>
        <w:ind w:firstLine="602" w:firstLineChars="200"/>
        <w:textAlignment w:val="auto"/>
        <w:rPr>
          <w:rFonts w:hint="eastAsia" w:ascii="黑体" w:hAnsi="黑体" w:eastAsia="黑体" w:cs="黑体"/>
          <w:b/>
          <w:sz w:val="30"/>
          <w:szCs w:val="30"/>
          <w:lang w:val="en-US" w:eastAsia="zh-CN"/>
        </w:rPr>
      </w:pPr>
      <w:r>
        <w:rPr>
          <w:rFonts w:hint="eastAsia" w:ascii="黑体" w:hAnsi="黑体" w:eastAsia="黑体" w:cs="黑体"/>
          <w:b/>
          <w:sz w:val="30"/>
          <w:szCs w:val="30"/>
          <w:lang w:val="en-US" w:eastAsia="zh-CN"/>
        </w:rPr>
        <w:t>六、奖项设置</w:t>
      </w:r>
    </w:p>
    <w:p w14:paraId="09F7CF3D">
      <w:pPr>
        <w:pStyle w:val="6"/>
        <w:keepNext w:val="0"/>
        <w:keepLines w:val="0"/>
        <w:pageBreakBefore w:val="0"/>
        <w:widowControl/>
        <w:kinsoku/>
        <w:wordWrap w:val="0"/>
        <w:overflowPunct/>
        <w:topLinePunct w:val="0"/>
        <w:autoSpaceDE/>
        <w:autoSpaceDN/>
        <w:bidi w:val="0"/>
        <w:adjustRightInd/>
        <w:snapToGrid/>
        <w:spacing w:beforeAutospacing="0" w:afterAutospacing="0" w:line="550" w:lineRule="exact"/>
        <w:ind w:firstLine="600" w:firstLineChars="200"/>
        <w:jc w:val="both"/>
        <w:textAlignment w:val="auto"/>
        <w:rPr>
          <w:rFonts w:hint="eastAsia" w:ascii="仿宋" w:hAnsi="仿宋" w:eastAsia="仿宋" w:cs="仿宋"/>
          <w:color w:val="3F464C"/>
          <w:sz w:val="30"/>
          <w:szCs w:val="30"/>
          <w:shd w:val="clear" w:color="auto" w:fill="FFFFFF"/>
        </w:rPr>
      </w:pPr>
      <w:r>
        <w:rPr>
          <w:rFonts w:hint="eastAsia" w:ascii="仿宋" w:hAnsi="仿宋" w:eastAsia="仿宋" w:cs="仿宋"/>
          <w:color w:val="000000"/>
          <w:sz w:val="30"/>
          <w:szCs w:val="30"/>
        </w:rPr>
        <w:t>（一）成长赛道。金奖</w:t>
      </w:r>
      <w:r>
        <w:rPr>
          <w:rFonts w:hint="eastAsia" w:ascii="仿宋" w:hAnsi="仿宋" w:eastAsia="仿宋" w:cs="仿宋"/>
          <w:color w:val="000000"/>
          <w:sz w:val="30"/>
          <w:szCs w:val="30"/>
          <w:lang w:val="en-US" w:eastAsia="zh-CN"/>
        </w:rPr>
        <w:t>4</w:t>
      </w:r>
      <w:r>
        <w:rPr>
          <w:rFonts w:hint="eastAsia" w:ascii="仿宋" w:hAnsi="仿宋" w:eastAsia="仿宋" w:cs="仿宋"/>
          <w:color w:val="000000"/>
          <w:sz w:val="30"/>
          <w:szCs w:val="30"/>
        </w:rPr>
        <w:t>个、银奖约6个、铜奖约15个。</w:t>
      </w:r>
    </w:p>
    <w:p w14:paraId="6D443A4D">
      <w:pPr>
        <w:pStyle w:val="6"/>
        <w:keepNext w:val="0"/>
        <w:keepLines w:val="0"/>
        <w:pageBreakBefore w:val="0"/>
        <w:widowControl/>
        <w:kinsoku/>
        <w:wordWrap w:val="0"/>
        <w:overflowPunct/>
        <w:topLinePunct w:val="0"/>
        <w:autoSpaceDE/>
        <w:autoSpaceDN/>
        <w:bidi w:val="0"/>
        <w:adjustRightInd/>
        <w:snapToGrid/>
        <w:spacing w:beforeAutospacing="0" w:afterAutospacing="0" w:line="550" w:lineRule="exact"/>
        <w:ind w:firstLine="600" w:firstLineChars="200"/>
        <w:jc w:val="both"/>
        <w:textAlignment w:val="auto"/>
        <w:rPr>
          <w:rFonts w:hint="eastAsia" w:ascii="仿宋" w:hAnsi="仿宋" w:eastAsia="仿宋" w:cs="仿宋"/>
          <w:color w:val="000000"/>
          <w:sz w:val="30"/>
          <w:szCs w:val="30"/>
        </w:rPr>
      </w:pPr>
      <w:r>
        <w:rPr>
          <w:rFonts w:hint="eastAsia" w:ascii="仿宋" w:hAnsi="仿宋" w:eastAsia="仿宋" w:cs="仿宋"/>
          <w:color w:val="auto"/>
          <w:sz w:val="30"/>
          <w:szCs w:val="30"/>
          <w:shd w:val="clear" w:color="auto" w:fill="FFFFFF"/>
        </w:rPr>
        <w:t>（二）</w:t>
      </w:r>
      <w:r>
        <w:rPr>
          <w:rFonts w:hint="eastAsia" w:ascii="仿宋" w:hAnsi="仿宋" w:eastAsia="仿宋" w:cs="仿宋"/>
          <w:color w:val="000000"/>
          <w:sz w:val="30"/>
          <w:szCs w:val="30"/>
        </w:rPr>
        <w:t>就业赛道。金奖6个、银奖约12个、铜奖约18个。</w:t>
      </w:r>
    </w:p>
    <w:p w14:paraId="31E1AB01">
      <w:pPr>
        <w:pStyle w:val="6"/>
        <w:keepNext w:val="0"/>
        <w:keepLines w:val="0"/>
        <w:pageBreakBefore w:val="0"/>
        <w:widowControl/>
        <w:kinsoku/>
        <w:wordWrap w:val="0"/>
        <w:overflowPunct/>
        <w:topLinePunct w:val="0"/>
        <w:autoSpaceDE/>
        <w:autoSpaceDN/>
        <w:bidi w:val="0"/>
        <w:adjustRightInd/>
        <w:snapToGrid/>
        <w:spacing w:beforeAutospacing="0" w:afterAutospacing="0" w:line="550" w:lineRule="exact"/>
        <w:ind w:firstLine="600" w:firstLineChars="200"/>
        <w:jc w:val="both"/>
        <w:textAlignment w:val="auto"/>
        <w:rPr>
          <w:rFonts w:hint="eastAsia" w:ascii="仿宋" w:hAnsi="仿宋" w:eastAsia="仿宋" w:cs="仿宋"/>
          <w:color w:val="000000"/>
          <w:sz w:val="30"/>
          <w:szCs w:val="30"/>
        </w:rPr>
      </w:pPr>
      <w:r>
        <w:rPr>
          <w:rFonts w:hint="eastAsia" w:ascii="仿宋" w:hAnsi="仿宋" w:eastAsia="仿宋" w:cs="仿宋"/>
          <w:color w:val="auto"/>
          <w:sz w:val="30"/>
          <w:szCs w:val="30"/>
          <w:shd w:val="clear" w:color="auto" w:fill="FFFFFF"/>
        </w:rPr>
        <w:t>（三）</w:t>
      </w:r>
      <w:r>
        <w:rPr>
          <w:rFonts w:hint="eastAsia" w:ascii="仿宋" w:hAnsi="仿宋" w:eastAsia="仿宋" w:cs="仿宋"/>
          <w:color w:val="000000"/>
          <w:sz w:val="30"/>
          <w:szCs w:val="30"/>
        </w:rPr>
        <w:t>优秀指导教师奖。约10个，获得成长、就业赛道金奖选手的第一指导教师为优秀指导教师。</w:t>
      </w:r>
    </w:p>
    <w:p w14:paraId="3A0FCBCE">
      <w:pPr>
        <w:pStyle w:val="6"/>
        <w:keepNext w:val="0"/>
        <w:keepLines w:val="0"/>
        <w:pageBreakBefore w:val="0"/>
        <w:widowControl/>
        <w:kinsoku/>
        <w:wordWrap w:val="0"/>
        <w:overflowPunct/>
        <w:topLinePunct w:val="0"/>
        <w:autoSpaceDE/>
        <w:autoSpaceDN/>
        <w:bidi w:val="0"/>
        <w:adjustRightInd/>
        <w:snapToGrid/>
        <w:spacing w:beforeAutospacing="0" w:afterAutospacing="0" w:line="550" w:lineRule="exact"/>
        <w:ind w:firstLine="600" w:firstLineChars="200"/>
        <w:jc w:val="both"/>
        <w:textAlignment w:val="auto"/>
        <w:rPr>
          <w:rFonts w:hint="eastAsia" w:ascii="仿宋" w:hAnsi="仿宋" w:eastAsia="仿宋" w:cs="仿宋"/>
          <w:color w:val="3F464C"/>
          <w:sz w:val="32"/>
          <w:szCs w:val="32"/>
          <w:shd w:val="clear" w:color="auto" w:fill="FFFFFF"/>
        </w:rPr>
      </w:pPr>
      <w:r>
        <w:rPr>
          <w:rFonts w:hint="eastAsia" w:ascii="仿宋" w:hAnsi="仿宋" w:eastAsia="仿宋" w:cs="仿宋"/>
          <w:sz w:val="30"/>
          <w:szCs w:val="30"/>
        </w:rPr>
        <w:t>（四）</w:t>
      </w:r>
      <w:r>
        <w:rPr>
          <w:rFonts w:hint="eastAsia" w:ascii="仿宋" w:hAnsi="仿宋" w:eastAsia="仿宋" w:cs="仿宋"/>
          <w:color w:val="000000"/>
          <w:sz w:val="30"/>
          <w:szCs w:val="30"/>
        </w:rPr>
        <w:t>优秀组织奖。约8个，比赛结束后各学院</w:t>
      </w:r>
      <w:r>
        <w:rPr>
          <w:rFonts w:hint="eastAsia" w:ascii="仿宋" w:hAnsi="仿宋" w:eastAsia="仿宋" w:cs="仿宋"/>
          <w:sz w:val="30"/>
          <w:szCs w:val="30"/>
        </w:rPr>
        <w:t>（部）、书院</w:t>
      </w:r>
      <w:r>
        <w:rPr>
          <w:rFonts w:hint="eastAsia" w:ascii="仿宋" w:hAnsi="仿宋" w:eastAsia="仿宋" w:cs="仿宋"/>
          <w:color w:val="000000"/>
          <w:sz w:val="30"/>
          <w:szCs w:val="30"/>
        </w:rPr>
        <w:t>需提交</w:t>
      </w:r>
      <w:r>
        <w:rPr>
          <w:rFonts w:hint="eastAsia" w:ascii="仿宋" w:hAnsi="仿宋" w:eastAsia="仿宋" w:cs="仿宋"/>
          <w:sz w:val="30"/>
          <w:szCs w:val="30"/>
        </w:rPr>
        <w:t>工作总结（包括活动照片、视频，报名人数、宣传效果、开展相关就业指导活动、访企拓岗及专场招聘活动等材料）将作为本次校级优秀组织单位评选的重要指标</w:t>
      </w:r>
      <w:r>
        <w:rPr>
          <w:rFonts w:hint="eastAsia" w:ascii="仿宋" w:hAnsi="仿宋" w:eastAsia="仿宋" w:cs="仿宋"/>
          <w:sz w:val="30"/>
          <w:szCs w:val="30"/>
          <w:lang w:eastAsia="zh-CN"/>
        </w:rPr>
        <w:t>，</w:t>
      </w:r>
      <w:r>
        <w:rPr>
          <w:rFonts w:hint="eastAsia" w:ascii="仿宋" w:hAnsi="仿宋" w:eastAsia="仿宋" w:cs="仿宋"/>
          <w:sz w:val="30"/>
          <w:szCs w:val="30"/>
        </w:rPr>
        <w:t>纳入就业创业工作先进单位评选考核</w:t>
      </w:r>
      <w:r>
        <w:rPr>
          <w:rFonts w:hint="eastAsia" w:ascii="仿宋" w:hAnsi="仿宋" w:eastAsia="仿宋" w:cs="仿宋"/>
          <w:sz w:val="32"/>
          <w:szCs w:val="32"/>
        </w:rPr>
        <w:t>。</w:t>
      </w:r>
    </w:p>
    <w:p w14:paraId="61BB364C">
      <w:pPr>
        <w:keepNext w:val="0"/>
        <w:keepLines w:val="0"/>
        <w:pageBreakBefore w:val="0"/>
        <w:widowControl w:val="0"/>
        <w:kinsoku/>
        <w:wordWrap/>
        <w:overflowPunct/>
        <w:topLinePunct w:val="0"/>
        <w:autoSpaceDE/>
        <w:autoSpaceDN/>
        <w:bidi w:val="0"/>
        <w:adjustRightInd/>
        <w:snapToGrid/>
        <w:spacing w:line="550" w:lineRule="exact"/>
        <w:ind w:firstLine="602" w:firstLineChars="200"/>
        <w:textAlignment w:val="auto"/>
        <w:rPr>
          <w:rFonts w:hint="eastAsia" w:ascii="黑体" w:hAnsi="黑体" w:eastAsia="黑体" w:cs="黑体"/>
          <w:b/>
          <w:sz w:val="30"/>
          <w:szCs w:val="30"/>
          <w:lang w:val="en-US" w:eastAsia="zh-CN"/>
        </w:rPr>
      </w:pPr>
      <w:r>
        <w:rPr>
          <w:rFonts w:hint="eastAsia" w:ascii="黑体" w:hAnsi="黑体" w:eastAsia="黑体" w:cs="黑体"/>
          <w:b/>
          <w:sz w:val="30"/>
          <w:szCs w:val="30"/>
          <w:lang w:val="en-US" w:eastAsia="zh-CN"/>
        </w:rPr>
        <w:t>七、参赛要求</w:t>
      </w:r>
    </w:p>
    <w:p w14:paraId="6E294CE7">
      <w:pPr>
        <w:pStyle w:val="3"/>
        <w:keepNext w:val="0"/>
        <w:keepLines w:val="0"/>
        <w:pageBreakBefore w:val="0"/>
        <w:widowControl w:val="0"/>
        <w:kinsoku/>
        <w:wordWrap/>
        <w:overflowPunct/>
        <w:topLinePunct w:val="0"/>
        <w:autoSpaceDE/>
        <w:autoSpaceDN/>
        <w:bidi w:val="0"/>
        <w:adjustRightInd/>
        <w:snapToGrid/>
        <w:spacing w:line="550" w:lineRule="exact"/>
        <w:ind w:left="0" w:right="0" w:firstLine="648" w:firstLineChars="200"/>
        <w:jc w:val="both"/>
        <w:textAlignment w:val="auto"/>
        <w:rPr>
          <w:rFonts w:hint="eastAsia" w:ascii="仿宋_GB2312" w:hAnsi="仿宋_GB2312" w:eastAsia="仿宋_GB2312" w:cs="仿宋_GB2312"/>
          <w:kern w:val="0"/>
          <w:sz w:val="30"/>
          <w:szCs w:val="30"/>
          <w:lang w:bidi="ar"/>
        </w:rPr>
      </w:pPr>
      <w:r>
        <w:rPr>
          <w:rFonts w:hint="eastAsia" w:ascii="仿宋_GB2312" w:hAnsi="仿宋_GB2312" w:eastAsia="仿宋_GB2312" w:cs="仿宋_GB2312"/>
          <w:spacing w:val="12"/>
          <w:sz w:val="30"/>
          <w:szCs w:val="30"/>
        </w:rPr>
        <w:t>（一）大赛成长、就业赛道参赛选手须为普通高等学校全日制在校学生。每位参赛者限选择一个符合要求的赛道报名。曾在</w:t>
      </w:r>
      <w:r>
        <w:rPr>
          <w:rFonts w:hint="eastAsia" w:ascii="仿宋_GB2312" w:hAnsi="仿宋_GB2312" w:eastAsia="仿宋_GB2312" w:cs="仿宋_GB2312"/>
          <w:spacing w:val="12"/>
          <w:sz w:val="30"/>
          <w:szCs w:val="30"/>
          <w:lang w:val="en-US" w:eastAsia="zh-CN"/>
        </w:rPr>
        <w:t>全省决</w:t>
      </w:r>
      <w:r>
        <w:rPr>
          <w:rFonts w:hint="eastAsia" w:ascii="仿宋_GB2312" w:hAnsi="仿宋_GB2312" w:eastAsia="仿宋_GB2312" w:cs="仿宋_GB2312"/>
          <w:spacing w:val="-7"/>
          <w:sz w:val="30"/>
          <w:szCs w:val="30"/>
        </w:rPr>
        <w:t>赛成长或就业赛道中获得金奖、银奖的选手，不可再报名同一赛道。</w:t>
      </w:r>
    </w:p>
    <w:p w14:paraId="689947A0">
      <w:pPr>
        <w:keepNext w:val="0"/>
        <w:keepLines w:val="0"/>
        <w:pageBreakBefore w:val="0"/>
        <w:widowControl w:val="0"/>
        <w:kinsoku/>
        <w:wordWrap/>
        <w:overflowPunct/>
        <w:topLinePunct w:val="0"/>
        <w:autoSpaceDE/>
        <w:autoSpaceDN/>
        <w:bidi w:val="0"/>
        <w:adjustRightInd/>
        <w:snapToGrid/>
        <w:spacing w:line="550" w:lineRule="exact"/>
        <w:ind w:firstLine="600" w:firstLineChars="200"/>
        <w:jc w:val="both"/>
        <w:textAlignment w:val="auto"/>
        <w:rPr>
          <w:rFonts w:hint="eastAsia" w:ascii="仿宋_GB2312" w:hAnsi="仿宋_GB2312" w:eastAsia="仿宋_GB2312" w:cs="仿宋_GB2312"/>
          <w:kern w:val="0"/>
          <w:sz w:val="30"/>
          <w:szCs w:val="30"/>
          <w:lang w:bidi="ar"/>
        </w:rPr>
      </w:pPr>
      <w:r>
        <w:rPr>
          <w:rFonts w:hint="eastAsia" w:ascii="仿宋_GB2312" w:hAnsi="仿宋_GB2312" w:eastAsia="仿宋_GB2312" w:cs="仿宋_GB2312"/>
          <w:kern w:val="0"/>
          <w:sz w:val="30"/>
          <w:szCs w:val="30"/>
          <w:lang w:bidi="ar"/>
        </w:rPr>
        <w:t>（二）参赛选手应按要求在大赛平台准确填写报名信息</w:t>
      </w:r>
      <w:r>
        <w:rPr>
          <w:rFonts w:hint="eastAsia" w:ascii="仿宋_GB2312" w:hAnsi="仿宋_GB2312" w:eastAsia="仿宋_GB2312" w:cs="仿宋_GB2312"/>
          <w:kern w:val="0"/>
          <w:sz w:val="30"/>
          <w:szCs w:val="30"/>
          <w:lang w:eastAsia="zh-CN" w:bidi="ar"/>
        </w:rPr>
        <w:t>，</w:t>
      </w:r>
      <w:r>
        <w:rPr>
          <w:rFonts w:hint="eastAsia" w:ascii="仿宋_GB2312" w:hAnsi="仿宋_GB2312" w:eastAsia="仿宋_GB2312" w:cs="仿宋_GB2312"/>
          <w:kern w:val="0"/>
          <w:sz w:val="30"/>
          <w:szCs w:val="30"/>
          <w:lang w:bidi="ar"/>
        </w:rPr>
        <w:t>提交材料应坚持真实性原则，不得含有违法违规内容，否则将被取消参赛资格及所获奖项等，并承担相应法律责任。</w:t>
      </w:r>
    </w:p>
    <w:p w14:paraId="6AB45D15">
      <w:pPr>
        <w:keepNext w:val="0"/>
        <w:keepLines w:val="0"/>
        <w:pageBreakBefore w:val="0"/>
        <w:widowControl w:val="0"/>
        <w:kinsoku/>
        <w:wordWrap/>
        <w:overflowPunct/>
        <w:topLinePunct w:val="0"/>
        <w:autoSpaceDE/>
        <w:autoSpaceDN/>
        <w:bidi w:val="0"/>
        <w:adjustRightInd/>
        <w:snapToGrid/>
        <w:spacing w:line="550" w:lineRule="exact"/>
        <w:ind w:firstLine="600" w:firstLineChars="200"/>
        <w:textAlignment w:val="auto"/>
        <w:rPr>
          <w:rFonts w:hint="eastAsia" w:ascii="仿宋_GB2312" w:hAnsi="仿宋_GB2312" w:eastAsia="仿宋_GB2312" w:cs="仿宋_GB2312"/>
          <w:kern w:val="0"/>
          <w:sz w:val="30"/>
          <w:szCs w:val="30"/>
          <w:lang w:bidi="ar"/>
        </w:rPr>
      </w:pPr>
      <w:r>
        <w:rPr>
          <w:rFonts w:hint="eastAsia" w:ascii="仿宋_GB2312" w:hAnsi="仿宋_GB2312" w:eastAsia="仿宋_GB2312" w:cs="仿宋_GB2312"/>
          <w:kern w:val="0"/>
          <w:sz w:val="30"/>
          <w:szCs w:val="30"/>
          <w:lang w:bidi="ar"/>
        </w:rPr>
        <w:t>（三）各学院</w:t>
      </w:r>
      <w:r>
        <w:rPr>
          <w:rFonts w:hint="eastAsia" w:ascii="仿宋_GB2312" w:hAnsi="仿宋_GB2312" w:eastAsia="仿宋_GB2312" w:cs="仿宋_GB2312"/>
          <w:sz w:val="30"/>
          <w:szCs w:val="30"/>
        </w:rPr>
        <w:t>（部）、书院</w:t>
      </w:r>
      <w:r>
        <w:rPr>
          <w:rFonts w:hint="eastAsia" w:ascii="仿宋_GB2312" w:hAnsi="仿宋_GB2312" w:eastAsia="仿宋_GB2312" w:cs="仿宋_GB2312"/>
          <w:kern w:val="0"/>
          <w:sz w:val="30"/>
          <w:szCs w:val="30"/>
          <w:lang w:bidi="ar"/>
        </w:rPr>
        <w:t>要认真做好参赛选手资格审查和参赛材料审查工作，确保符合相关要求。</w:t>
      </w:r>
    </w:p>
    <w:p w14:paraId="1DB4C7CA">
      <w:pPr>
        <w:keepNext w:val="0"/>
        <w:keepLines w:val="0"/>
        <w:pageBreakBefore w:val="0"/>
        <w:widowControl w:val="0"/>
        <w:kinsoku/>
        <w:wordWrap/>
        <w:overflowPunct/>
        <w:topLinePunct w:val="0"/>
        <w:autoSpaceDE/>
        <w:autoSpaceDN/>
        <w:bidi w:val="0"/>
        <w:adjustRightInd/>
        <w:snapToGrid/>
        <w:spacing w:line="550" w:lineRule="exact"/>
        <w:ind w:firstLine="602" w:firstLineChars="200"/>
        <w:textAlignment w:val="auto"/>
        <w:rPr>
          <w:rFonts w:hint="eastAsia" w:ascii="黑体" w:hAnsi="黑体" w:eastAsia="黑体" w:cs="黑体"/>
          <w:b/>
          <w:sz w:val="30"/>
          <w:szCs w:val="30"/>
          <w:lang w:val="en-US" w:eastAsia="zh-CN"/>
        </w:rPr>
      </w:pPr>
      <w:r>
        <w:rPr>
          <w:rFonts w:hint="eastAsia" w:ascii="黑体" w:hAnsi="黑体" w:eastAsia="黑体" w:cs="黑体"/>
          <w:b/>
          <w:sz w:val="30"/>
          <w:szCs w:val="30"/>
          <w:lang w:val="en-US" w:eastAsia="zh-CN"/>
        </w:rPr>
        <w:t>八、工作要求</w:t>
      </w:r>
    </w:p>
    <w:p w14:paraId="133C3117">
      <w:pPr>
        <w:pStyle w:val="3"/>
        <w:keepNext w:val="0"/>
        <w:keepLines w:val="0"/>
        <w:pageBreakBefore w:val="0"/>
        <w:widowControl w:val="0"/>
        <w:kinsoku/>
        <w:wordWrap/>
        <w:overflowPunct/>
        <w:topLinePunct w:val="0"/>
        <w:autoSpaceDE/>
        <w:autoSpaceDN/>
        <w:bidi w:val="0"/>
        <w:adjustRightInd/>
        <w:snapToGrid/>
        <w:spacing w:line="550" w:lineRule="exact"/>
        <w:ind w:left="0" w:right="0" w:firstLine="650" w:firstLineChars="200"/>
        <w:jc w:val="both"/>
        <w:textAlignment w:val="auto"/>
        <w:rPr>
          <w:rFonts w:hint="eastAsia" w:ascii="仿宋_GB2312" w:hAnsi="仿宋_GB2312" w:eastAsia="仿宋_GB2312" w:cs="仿宋_GB2312"/>
          <w:spacing w:val="12"/>
          <w:sz w:val="30"/>
          <w:szCs w:val="30"/>
        </w:rPr>
      </w:pPr>
      <w:r>
        <w:rPr>
          <w:rFonts w:hint="default" w:ascii="仿宋_GB2312" w:hAnsi="仿宋_GB2312" w:eastAsia="仿宋_GB2312" w:cs="仿宋_GB2312"/>
          <w:b/>
          <w:bCs/>
          <w:spacing w:val="12"/>
          <w:sz w:val="30"/>
          <w:szCs w:val="30"/>
        </w:rPr>
        <w:t>（一）充分发动。</w:t>
      </w:r>
      <w:r>
        <w:rPr>
          <w:rFonts w:hint="default" w:ascii="仿宋_GB2312" w:hAnsi="仿宋_GB2312" w:eastAsia="仿宋_GB2312" w:cs="仿宋_GB2312"/>
          <w:spacing w:val="12"/>
          <w:sz w:val="30"/>
          <w:szCs w:val="30"/>
        </w:rPr>
        <w:t>各学院（部）、书院要切实做好大赛的宣传动员工作，积极引导更多大学生了解并参与大赛，将大赛组织与各类生涯教育、就业指导、实习实践及校园招聘等活动统筹推进，形成协同联动的工作格局。鼓励参赛学生立足所学专业、发挥能力优势、结合兴趣特长以及就业市场实际，科学合理设定职业目标，树立正确的择业观与就业观，体现个人理想同国家需要和经济社会发展相结合的价值追求。</w:t>
      </w:r>
    </w:p>
    <w:p w14:paraId="2B57623B">
      <w:pPr>
        <w:pStyle w:val="3"/>
        <w:keepNext w:val="0"/>
        <w:keepLines w:val="0"/>
        <w:pageBreakBefore w:val="0"/>
        <w:widowControl w:val="0"/>
        <w:kinsoku/>
        <w:wordWrap/>
        <w:overflowPunct/>
        <w:topLinePunct w:val="0"/>
        <w:autoSpaceDE/>
        <w:autoSpaceDN/>
        <w:bidi w:val="0"/>
        <w:adjustRightInd/>
        <w:snapToGrid/>
        <w:spacing w:line="550" w:lineRule="exact"/>
        <w:ind w:left="0" w:right="0" w:firstLine="650" w:firstLineChars="200"/>
        <w:jc w:val="both"/>
        <w:textAlignment w:val="auto"/>
        <w:rPr>
          <w:rFonts w:hint="default" w:ascii="仿宋_GB2312" w:hAnsi="仿宋_GB2312" w:eastAsia="仿宋_GB2312" w:cs="仿宋_GB2312"/>
          <w:spacing w:val="12"/>
          <w:sz w:val="30"/>
          <w:szCs w:val="30"/>
        </w:rPr>
      </w:pPr>
      <w:r>
        <w:rPr>
          <w:rFonts w:hint="default" w:ascii="仿宋_GB2312" w:hAnsi="仿宋_GB2312" w:eastAsia="仿宋_GB2312" w:cs="仿宋_GB2312"/>
          <w:b/>
          <w:bCs/>
          <w:spacing w:val="12"/>
          <w:sz w:val="30"/>
          <w:szCs w:val="30"/>
        </w:rPr>
        <w:t>（二）精心部署。</w:t>
      </w:r>
      <w:r>
        <w:rPr>
          <w:rFonts w:hint="default" w:ascii="仿宋_GB2312" w:hAnsi="仿宋_GB2312" w:eastAsia="仿宋_GB2312" w:cs="仿宋_GB2312"/>
          <w:spacing w:val="12"/>
          <w:sz w:val="30"/>
          <w:szCs w:val="30"/>
        </w:rPr>
        <w:t>各学院（部）、书院要高度重视、周密安排，持续加大在学生生涯教育、就业服务及各类招聘活动等方面的投入，为大赛及相关同期活动提供必要的场地与经费保障。始终坚持公益、公平、开放、节俭、廉洁、安全的办赛原则，确保大赛平稳有序开展、取得扎实成效。</w:t>
      </w:r>
    </w:p>
    <w:p w14:paraId="444ED637">
      <w:pPr>
        <w:pStyle w:val="3"/>
        <w:keepNext w:val="0"/>
        <w:keepLines w:val="0"/>
        <w:pageBreakBefore w:val="0"/>
        <w:widowControl w:val="0"/>
        <w:kinsoku/>
        <w:wordWrap/>
        <w:overflowPunct/>
        <w:topLinePunct w:val="0"/>
        <w:autoSpaceDE/>
        <w:autoSpaceDN/>
        <w:bidi w:val="0"/>
        <w:adjustRightInd/>
        <w:snapToGrid/>
        <w:spacing w:line="550" w:lineRule="exact"/>
        <w:ind w:left="0" w:right="0" w:firstLine="650" w:firstLineChars="200"/>
        <w:jc w:val="both"/>
        <w:textAlignment w:val="auto"/>
        <w:rPr>
          <w:rFonts w:hint="default" w:ascii="仿宋_GB2312" w:hAnsi="仿宋_GB2312" w:eastAsia="仿宋_GB2312" w:cs="仿宋_GB2312"/>
          <w:spacing w:val="12"/>
          <w:sz w:val="30"/>
          <w:szCs w:val="30"/>
        </w:rPr>
      </w:pPr>
      <w:r>
        <w:rPr>
          <w:rFonts w:hint="default" w:ascii="仿宋_GB2312" w:hAnsi="仿宋_GB2312" w:eastAsia="仿宋_GB2312" w:cs="仿宋_GB2312"/>
          <w:b/>
          <w:bCs/>
          <w:spacing w:val="12"/>
          <w:sz w:val="30"/>
          <w:szCs w:val="30"/>
        </w:rPr>
        <w:t>（三）广泛推广。</w:t>
      </w:r>
      <w:r>
        <w:rPr>
          <w:rFonts w:hint="default" w:ascii="仿宋_GB2312" w:hAnsi="仿宋_GB2312" w:eastAsia="仿宋_GB2312" w:cs="仿宋_GB2312"/>
          <w:spacing w:val="12"/>
          <w:sz w:val="30"/>
          <w:szCs w:val="30"/>
        </w:rPr>
        <w:t>各学院（部）、书院应充分利用各级各类网络平台与新媒体渠道，对赛事进行全方位、多角度宣传，积极向校园网专题栏目投稿。稿件内容可涵盖往届获奖选手经验分享、就业指导教师政策解读或备赛指导等相关新闻资讯。不断扩大生涯教育与就业指导工作的覆盖面和影响力，努力营造全社会关心支持大学生就业的良好氛围。</w:t>
      </w:r>
    </w:p>
    <w:p w14:paraId="79FAF532">
      <w:pPr>
        <w:pStyle w:val="3"/>
        <w:keepNext w:val="0"/>
        <w:keepLines w:val="0"/>
        <w:pageBreakBefore w:val="0"/>
        <w:widowControl w:val="0"/>
        <w:kinsoku/>
        <w:wordWrap/>
        <w:overflowPunct/>
        <w:topLinePunct w:val="0"/>
        <w:autoSpaceDE/>
        <w:autoSpaceDN/>
        <w:bidi w:val="0"/>
        <w:adjustRightInd/>
        <w:snapToGrid/>
        <w:spacing w:line="550" w:lineRule="exact"/>
        <w:ind w:left="0" w:right="0" w:firstLine="650" w:firstLineChars="200"/>
        <w:jc w:val="both"/>
        <w:textAlignment w:val="auto"/>
        <w:rPr>
          <w:rFonts w:hint="default" w:ascii="仿宋_GB2312" w:hAnsi="仿宋_GB2312" w:eastAsia="仿宋_GB2312" w:cs="仿宋_GB2312"/>
          <w:spacing w:val="12"/>
          <w:sz w:val="30"/>
          <w:szCs w:val="30"/>
        </w:rPr>
      </w:pPr>
      <w:r>
        <w:rPr>
          <w:rFonts w:hint="default" w:ascii="仿宋_GB2312" w:hAnsi="仿宋_GB2312" w:eastAsia="仿宋_GB2312" w:cs="仿宋_GB2312"/>
          <w:b/>
          <w:bCs/>
          <w:spacing w:val="12"/>
          <w:sz w:val="30"/>
          <w:szCs w:val="30"/>
        </w:rPr>
        <w:t>（四）总结经验。</w:t>
      </w:r>
      <w:r>
        <w:rPr>
          <w:rFonts w:hint="default" w:ascii="仿宋_GB2312" w:hAnsi="仿宋_GB2312" w:eastAsia="仿宋_GB2312" w:cs="仿宋_GB2312"/>
          <w:spacing w:val="12"/>
          <w:sz w:val="30"/>
          <w:szCs w:val="30"/>
        </w:rPr>
        <w:t>各学院（部）、书院要认真梳理办赛经验，推动院赛办出水平、办出特色，并充分运用大赛成果，发挥其示范引领和育人功能。加强在赛事中涌现出的朋辈典型人物和先进事迹的宣传，推广可复制、可借鉴的有效做法。院赛结束后，按要求及时报送总结材料。学校将综合各院提交的总结材料、平台参赛数据、院赛组织成效、校企对接实效、就业指导活动开展情况以及校园网专题栏目投稿</w:t>
      </w:r>
      <w:r>
        <w:rPr>
          <w:rFonts w:hint="eastAsia" w:ascii="仿宋_GB2312" w:hAnsi="仿宋_GB2312" w:eastAsia="仿宋_GB2312" w:cs="仿宋_GB2312"/>
          <w:spacing w:val="12"/>
          <w:sz w:val="30"/>
          <w:szCs w:val="30"/>
          <w:lang w:val="en-US" w:eastAsia="zh-CN"/>
        </w:rPr>
        <w:t>情况和</w:t>
      </w:r>
      <w:r>
        <w:rPr>
          <w:rFonts w:hint="default" w:ascii="仿宋_GB2312" w:hAnsi="仿宋_GB2312" w:eastAsia="仿宋_GB2312" w:cs="仿宋_GB2312"/>
          <w:spacing w:val="12"/>
          <w:sz w:val="30"/>
          <w:szCs w:val="30"/>
        </w:rPr>
        <w:t>校赛获奖数量等多项指标进行评审，择优评定优秀组织奖。</w:t>
      </w:r>
    </w:p>
    <w:p w14:paraId="0E5DE419">
      <w:pPr>
        <w:keepNext w:val="0"/>
        <w:keepLines w:val="0"/>
        <w:pageBreakBefore w:val="0"/>
        <w:widowControl w:val="0"/>
        <w:kinsoku/>
        <w:wordWrap/>
        <w:overflowPunct/>
        <w:topLinePunct w:val="0"/>
        <w:autoSpaceDE/>
        <w:autoSpaceDN/>
        <w:bidi w:val="0"/>
        <w:adjustRightInd/>
        <w:snapToGrid/>
        <w:spacing w:line="550" w:lineRule="exact"/>
        <w:ind w:firstLine="602" w:firstLineChars="200"/>
        <w:textAlignment w:val="auto"/>
        <w:rPr>
          <w:rFonts w:hint="eastAsia" w:ascii="黑体" w:hAnsi="黑体" w:eastAsia="黑体" w:cs="黑体"/>
          <w:b/>
          <w:sz w:val="30"/>
          <w:szCs w:val="30"/>
          <w:lang w:val="en-US" w:eastAsia="zh-CN"/>
        </w:rPr>
      </w:pPr>
      <w:r>
        <w:rPr>
          <w:rFonts w:hint="eastAsia" w:ascii="黑体" w:hAnsi="黑体" w:eastAsia="黑体" w:cs="黑体"/>
          <w:b/>
          <w:sz w:val="30"/>
          <w:szCs w:val="30"/>
          <w:lang w:val="en-US" w:eastAsia="zh-CN"/>
        </w:rPr>
        <w:t>九、其他要求</w:t>
      </w:r>
    </w:p>
    <w:p w14:paraId="67BC918D">
      <w:pPr>
        <w:pStyle w:val="6"/>
        <w:keepNext w:val="0"/>
        <w:keepLines w:val="0"/>
        <w:pageBreakBefore w:val="0"/>
        <w:widowControl/>
        <w:kinsoku/>
        <w:wordWrap w:val="0"/>
        <w:overflowPunct/>
        <w:topLinePunct w:val="0"/>
        <w:autoSpaceDE/>
        <w:autoSpaceDN/>
        <w:bidi w:val="0"/>
        <w:adjustRightInd/>
        <w:snapToGrid/>
        <w:spacing w:beforeAutospacing="0" w:afterAutospacing="0" w:line="550" w:lineRule="exact"/>
        <w:ind w:firstLine="600" w:firstLineChars="200"/>
        <w:jc w:val="both"/>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1.各学院（部）、书院须指定一名专职教师担任带队老师，并于11月</w:t>
      </w:r>
      <w:r>
        <w:rPr>
          <w:rFonts w:hint="eastAsia" w:ascii="仿宋_GB2312" w:hAnsi="仿宋_GB2312" w:eastAsia="仿宋_GB2312" w:cs="仿宋_GB2312"/>
          <w:sz w:val="30"/>
          <w:szCs w:val="30"/>
          <w:lang w:val="en-US" w:eastAsia="zh-CN"/>
        </w:rPr>
        <w:t>12</w:t>
      </w:r>
      <w:r>
        <w:rPr>
          <w:rFonts w:hint="eastAsia" w:ascii="仿宋_GB2312" w:hAnsi="仿宋_GB2312" w:eastAsia="仿宋_GB2312" w:cs="仿宋_GB2312"/>
          <w:sz w:val="30"/>
          <w:szCs w:val="30"/>
        </w:rPr>
        <w:t>日前通过</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附件</w:t>
      </w:r>
      <w:r>
        <w:rPr>
          <w:rFonts w:hint="eastAsia" w:ascii="仿宋_GB2312" w:hAnsi="仿宋_GB2312" w:eastAsia="仿宋_GB2312" w:cs="仿宋_GB2312"/>
          <w:sz w:val="30"/>
          <w:szCs w:val="30"/>
          <w:lang w:val="en-US" w:eastAsia="zh-CN"/>
        </w:rPr>
        <w:t>6</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中二维码加入微信工作群</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最新消息将在群内进行通知。</w:t>
      </w:r>
    </w:p>
    <w:p w14:paraId="32373D4D">
      <w:pPr>
        <w:keepNext w:val="0"/>
        <w:keepLines w:val="0"/>
        <w:pageBreakBefore w:val="0"/>
        <w:kinsoku/>
        <w:overflowPunct/>
        <w:topLinePunct w:val="0"/>
        <w:autoSpaceDE/>
        <w:autoSpaceDN/>
        <w:bidi w:val="0"/>
        <w:adjustRightInd/>
        <w:snapToGrid/>
        <w:spacing w:line="55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2.参赛选手须及时关注比赛信息。</w:t>
      </w:r>
    </w:p>
    <w:p w14:paraId="5FC42BF9">
      <w:pPr>
        <w:keepNext w:val="0"/>
        <w:keepLines w:val="0"/>
        <w:pageBreakBefore w:val="0"/>
        <w:kinsoku/>
        <w:overflowPunct/>
        <w:topLinePunct w:val="0"/>
        <w:autoSpaceDE/>
        <w:autoSpaceDN/>
        <w:bidi w:val="0"/>
        <w:adjustRightInd/>
        <w:snapToGrid/>
        <w:spacing w:line="55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3.参赛选手须严格按照大赛各环节的时间要求提交材料，按时参赛，否则将取消参赛资格。</w:t>
      </w:r>
    </w:p>
    <w:p w14:paraId="0FFAB2FB">
      <w:pPr>
        <w:keepNext w:val="0"/>
        <w:keepLines w:val="0"/>
        <w:pageBreakBefore w:val="0"/>
        <w:kinsoku/>
        <w:overflowPunct/>
        <w:topLinePunct w:val="0"/>
        <w:autoSpaceDE/>
        <w:autoSpaceDN/>
        <w:bidi w:val="0"/>
        <w:adjustRightInd/>
        <w:snapToGrid/>
        <w:spacing w:line="55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4.各参赛选手提交的参赛作品概不退稿，请自留底稿。</w:t>
      </w:r>
    </w:p>
    <w:p w14:paraId="0442600A">
      <w:pPr>
        <w:keepNext w:val="0"/>
        <w:keepLines w:val="0"/>
        <w:pageBreakBefore w:val="0"/>
        <w:kinsoku/>
        <w:overflowPunct/>
        <w:topLinePunct w:val="0"/>
        <w:autoSpaceDE/>
        <w:autoSpaceDN/>
        <w:bidi w:val="0"/>
        <w:adjustRightInd/>
        <w:snapToGrid/>
        <w:spacing w:line="55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以上未尽事宜，另行通知。</w:t>
      </w:r>
    </w:p>
    <w:p w14:paraId="0A9788BC">
      <w:pPr>
        <w:keepNext w:val="0"/>
        <w:keepLines w:val="0"/>
        <w:pageBreakBefore w:val="0"/>
        <w:widowControl w:val="0"/>
        <w:kinsoku/>
        <w:wordWrap/>
        <w:overflowPunct/>
        <w:topLinePunct w:val="0"/>
        <w:autoSpaceDE/>
        <w:autoSpaceDN/>
        <w:bidi w:val="0"/>
        <w:adjustRightInd/>
        <w:snapToGrid/>
        <w:spacing w:line="550" w:lineRule="exact"/>
        <w:ind w:firstLine="602" w:firstLineChars="200"/>
        <w:textAlignment w:val="auto"/>
        <w:rPr>
          <w:rFonts w:hint="eastAsia" w:ascii="黑体" w:hAnsi="黑体" w:eastAsia="黑体" w:cs="黑体"/>
          <w:b/>
          <w:sz w:val="30"/>
          <w:szCs w:val="30"/>
          <w:lang w:val="en-US" w:eastAsia="zh-CN"/>
        </w:rPr>
      </w:pPr>
      <w:r>
        <w:rPr>
          <w:rFonts w:hint="eastAsia" w:ascii="黑体" w:hAnsi="黑体" w:eastAsia="黑体" w:cs="黑体"/>
          <w:b/>
          <w:sz w:val="30"/>
          <w:szCs w:val="30"/>
          <w:lang w:val="en-US" w:eastAsia="zh-CN"/>
        </w:rPr>
        <w:t>十、联系方式</w:t>
      </w:r>
    </w:p>
    <w:p w14:paraId="70973B5D">
      <w:pPr>
        <w:pStyle w:val="6"/>
        <w:keepNext w:val="0"/>
        <w:keepLines w:val="0"/>
        <w:pageBreakBefore w:val="0"/>
        <w:widowControl/>
        <w:kinsoku/>
        <w:wordWrap w:val="0"/>
        <w:overflowPunct/>
        <w:topLinePunct w:val="0"/>
        <w:autoSpaceDE/>
        <w:autoSpaceDN/>
        <w:bidi w:val="0"/>
        <w:adjustRightInd/>
        <w:snapToGrid/>
        <w:spacing w:beforeAutospacing="0" w:afterAutospacing="0" w:line="550" w:lineRule="exact"/>
        <w:ind w:firstLine="600" w:firstLineChars="200"/>
        <w:jc w:val="both"/>
        <w:textAlignment w:val="auto"/>
        <w:rPr>
          <w:rFonts w:hint="default" w:ascii="仿宋_GB2312" w:hAnsi="仿宋_GB2312" w:eastAsia="仿宋_GB2312" w:cs="仿宋_GB2312"/>
          <w:color w:val="FF0000"/>
          <w:sz w:val="30"/>
          <w:szCs w:val="30"/>
          <w:lang w:val="en-US" w:eastAsia="zh-CN"/>
        </w:rPr>
      </w:pPr>
      <w:r>
        <w:rPr>
          <w:rFonts w:hint="eastAsia" w:ascii="仿宋_GB2312" w:hAnsi="仿宋_GB2312" w:eastAsia="仿宋_GB2312" w:cs="仿宋_GB2312"/>
          <w:color w:val="000000"/>
          <w:sz w:val="30"/>
          <w:szCs w:val="30"/>
        </w:rPr>
        <w:t>联系人：招生就业处</w:t>
      </w:r>
      <w:r>
        <w:rPr>
          <w:rFonts w:hint="eastAsia" w:ascii="仿宋_GB2312" w:hAnsi="仿宋_GB2312" w:eastAsia="仿宋_GB2312" w:cs="仿宋_GB2312"/>
          <w:color w:val="000000"/>
          <w:sz w:val="30"/>
          <w:szCs w:val="30"/>
          <w:lang w:val="en-US" w:eastAsia="zh-CN"/>
        </w:rPr>
        <w:t xml:space="preserve">   </w:t>
      </w:r>
      <w:r>
        <w:rPr>
          <w:rFonts w:hint="eastAsia" w:ascii="仿宋_GB2312" w:hAnsi="仿宋_GB2312" w:eastAsia="仿宋_GB2312" w:cs="仿宋_GB2312"/>
          <w:kern w:val="2"/>
          <w:sz w:val="30"/>
          <w:szCs w:val="30"/>
          <w:lang w:val="en-US" w:eastAsia="zh-CN"/>
        </w:rPr>
        <w:t>赵巧利</w:t>
      </w:r>
      <w:r>
        <w:rPr>
          <w:rFonts w:hint="eastAsia" w:ascii="仿宋_GB2312" w:hAnsi="仿宋_GB2312" w:eastAsia="仿宋_GB2312" w:cs="仿宋_GB2312"/>
          <w:kern w:val="2"/>
          <w:sz w:val="30"/>
          <w:szCs w:val="30"/>
        </w:rPr>
        <w:t xml:space="preserve"> </w:t>
      </w:r>
      <w:r>
        <w:rPr>
          <w:rFonts w:hint="eastAsia" w:ascii="仿宋_GB2312" w:hAnsi="仿宋_GB2312" w:eastAsia="仿宋_GB2312" w:cs="仿宋_GB2312"/>
          <w:color w:val="FF0000"/>
          <w:sz w:val="30"/>
          <w:szCs w:val="30"/>
        </w:rPr>
        <w:t xml:space="preserve">  </w:t>
      </w:r>
      <w:r>
        <w:rPr>
          <w:rFonts w:hint="eastAsia" w:ascii="仿宋_GB2312" w:hAnsi="仿宋_GB2312" w:eastAsia="仿宋_GB2312" w:cs="仿宋_GB2312"/>
          <w:sz w:val="30"/>
          <w:szCs w:val="30"/>
        </w:rPr>
        <w:t xml:space="preserve">  0373-332</w:t>
      </w:r>
      <w:r>
        <w:rPr>
          <w:rFonts w:hint="eastAsia" w:ascii="仿宋_GB2312" w:hAnsi="仿宋_GB2312" w:eastAsia="仿宋_GB2312" w:cs="仿宋_GB2312"/>
          <w:sz w:val="30"/>
          <w:szCs w:val="30"/>
          <w:lang w:val="en-US" w:eastAsia="zh-CN"/>
        </w:rPr>
        <w:t>9282</w:t>
      </w:r>
    </w:p>
    <w:p w14:paraId="76DB3659">
      <w:pPr>
        <w:pStyle w:val="6"/>
        <w:keepNext w:val="0"/>
        <w:keepLines w:val="0"/>
        <w:pageBreakBefore w:val="0"/>
        <w:widowControl/>
        <w:kinsoku/>
        <w:wordWrap w:val="0"/>
        <w:overflowPunct/>
        <w:topLinePunct w:val="0"/>
        <w:autoSpaceDE/>
        <w:autoSpaceDN/>
        <w:bidi w:val="0"/>
        <w:adjustRightInd/>
        <w:snapToGrid/>
        <w:spacing w:beforeAutospacing="0" w:afterAutospacing="0" w:line="550" w:lineRule="exact"/>
        <w:ind w:firstLine="600" w:firstLineChars="200"/>
        <w:jc w:val="both"/>
        <w:textAlignment w:val="auto"/>
        <w:rPr>
          <w:rFonts w:hint="eastAsia" w:ascii="仿宋_GB2312" w:hAnsi="仿宋_GB2312" w:eastAsia="仿宋_GB2312" w:cs="仿宋_GB2312"/>
          <w:color w:val="000000"/>
          <w:sz w:val="30"/>
          <w:szCs w:val="30"/>
          <w:lang w:val="en-US" w:eastAsia="zh-CN"/>
        </w:rPr>
      </w:pPr>
      <w:r>
        <w:rPr>
          <w:rFonts w:hint="eastAsia" w:ascii="仿宋_GB2312" w:hAnsi="仿宋_GB2312" w:eastAsia="仿宋_GB2312" w:cs="仿宋_GB2312"/>
          <w:color w:val="000000"/>
          <w:sz w:val="30"/>
          <w:szCs w:val="30"/>
          <w:lang w:val="en-US" w:eastAsia="zh-CN"/>
        </w:rPr>
        <w:t xml:space="preserve">        </w:t>
      </w:r>
      <w:r>
        <w:rPr>
          <w:rFonts w:hint="eastAsia" w:ascii="仿宋_GB2312" w:hAnsi="仿宋_GB2312" w:eastAsia="仿宋_GB2312" w:cs="仿宋_GB2312"/>
          <w:kern w:val="2"/>
          <w:sz w:val="30"/>
          <w:szCs w:val="30"/>
          <w:lang w:val="en-US" w:eastAsia="zh-CN"/>
        </w:rPr>
        <w:t xml:space="preserve">商  学  院   郭琛昊     </w:t>
      </w:r>
      <w:r>
        <w:rPr>
          <w:rFonts w:hint="eastAsia" w:ascii="仿宋_GB2312" w:hAnsi="仿宋_GB2312" w:eastAsia="仿宋_GB2312" w:cs="仿宋_GB2312"/>
          <w:kern w:val="2"/>
          <w:sz w:val="30"/>
          <w:szCs w:val="30"/>
        </w:rPr>
        <w:t>0373-332</w:t>
      </w:r>
      <w:r>
        <w:rPr>
          <w:rFonts w:hint="eastAsia" w:ascii="仿宋_GB2312" w:hAnsi="仿宋_GB2312" w:eastAsia="仿宋_GB2312" w:cs="仿宋_GB2312"/>
          <w:kern w:val="2"/>
          <w:sz w:val="30"/>
          <w:szCs w:val="30"/>
          <w:lang w:val="en-US" w:eastAsia="zh-CN"/>
        </w:rPr>
        <w:t>8066</w:t>
      </w:r>
    </w:p>
    <w:p w14:paraId="0372C65B">
      <w:pPr>
        <w:pStyle w:val="6"/>
        <w:keepNext w:val="0"/>
        <w:keepLines w:val="0"/>
        <w:pageBreakBefore w:val="0"/>
        <w:widowControl/>
        <w:kinsoku/>
        <w:wordWrap w:val="0"/>
        <w:overflowPunct/>
        <w:topLinePunct w:val="0"/>
        <w:autoSpaceDE/>
        <w:autoSpaceDN/>
        <w:bidi w:val="0"/>
        <w:adjustRightInd/>
        <w:snapToGrid/>
        <w:spacing w:beforeAutospacing="0" w:afterAutospacing="0" w:line="550" w:lineRule="exact"/>
        <w:ind w:firstLine="600" w:firstLineChars="200"/>
        <w:jc w:val="both"/>
        <w:textAlignment w:val="auto"/>
        <w:rPr>
          <w:rFonts w:hint="eastAsia" w:ascii="仿宋_GB2312" w:hAnsi="仿宋_GB2312" w:eastAsia="仿宋_GB2312" w:cs="仿宋_GB2312"/>
          <w:color w:val="000000"/>
          <w:sz w:val="30"/>
          <w:szCs w:val="30"/>
        </w:rPr>
      </w:pPr>
    </w:p>
    <w:p w14:paraId="3B83CB40">
      <w:pPr>
        <w:keepNext w:val="0"/>
        <w:keepLines w:val="0"/>
        <w:pageBreakBefore w:val="0"/>
        <w:kinsoku/>
        <w:overflowPunct/>
        <w:topLinePunct w:val="0"/>
        <w:autoSpaceDE/>
        <w:autoSpaceDN/>
        <w:bidi w:val="0"/>
        <w:adjustRightInd/>
        <w:snapToGrid/>
        <w:spacing w:line="550" w:lineRule="exact"/>
        <w:jc w:val="right"/>
        <w:textAlignment w:val="auto"/>
        <w:rPr>
          <w:rFonts w:hint="eastAsia" w:ascii="仿宋_GB2312" w:hAnsi="仿宋_GB2312" w:eastAsia="仿宋_GB2312" w:cs="仿宋_GB2312"/>
          <w:b/>
          <w:kern w:val="0"/>
          <w:sz w:val="30"/>
          <w:szCs w:val="30"/>
          <w:highlight w:val="none"/>
          <w:lang w:val="en-US" w:eastAsia="zh-CN"/>
        </w:rPr>
      </w:pPr>
      <w:r>
        <w:rPr>
          <w:rFonts w:hint="eastAsia" w:ascii="仿宋_GB2312" w:hAnsi="仿宋_GB2312" w:eastAsia="仿宋_GB2312" w:cs="仿宋_GB2312"/>
          <w:b/>
          <w:kern w:val="0"/>
          <w:sz w:val="30"/>
          <w:szCs w:val="30"/>
          <w:highlight w:val="none"/>
          <w:lang w:val="en-US" w:eastAsia="zh-CN"/>
        </w:rPr>
        <w:t>河南师范大学招生就业处</w:t>
      </w:r>
    </w:p>
    <w:p w14:paraId="084DBCAF">
      <w:pPr>
        <w:keepNext w:val="0"/>
        <w:keepLines w:val="0"/>
        <w:pageBreakBefore w:val="0"/>
        <w:kinsoku/>
        <w:overflowPunct/>
        <w:topLinePunct w:val="0"/>
        <w:autoSpaceDE/>
        <w:autoSpaceDN/>
        <w:bidi w:val="0"/>
        <w:adjustRightInd/>
        <w:snapToGrid/>
        <w:spacing w:line="550" w:lineRule="exact"/>
        <w:jc w:val="right"/>
        <w:textAlignment w:val="auto"/>
        <w:rPr>
          <w:rFonts w:hint="eastAsia" w:ascii="仿宋_GB2312" w:hAnsi="仿宋_GB2312" w:eastAsia="仿宋_GB2312" w:cs="仿宋_GB2312"/>
          <w:b/>
          <w:kern w:val="0"/>
          <w:sz w:val="30"/>
          <w:szCs w:val="30"/>
          <w:highlight w:val="none"/>
          <w:lang w:val="en-US" w:eastAsia="zh-CN"/>
        </w:rPr>
      </w:pPr>
      <w:r>
        <w:rPr>
          <w:rFonts w:hint="eastAsia" w:ascii="仿宋_GB2312" w:hAnsi="仿宋_GB2312" w:eastAsia="仿宋_GB2312" w:cs="仿宋_GB2312"/>
          <w:b/>
          <w:kern w:val="0"/>
          <w:sz w:val="30"/>
          <w:szCs w:val="30"/>
          <w:highlight w:val="none"/>
        </w:rPr>
        <w:t>河南师范大学</w:t>
      </w:r>
      <w:r>
        <w:rPr>
          <w:rFonts w:hint="eastAsia" w:ascii="仿宋_GB2312" w:hAnsi="仿宋_GB2312" w:eastAsia="仿宋_GB2312" w:cs="仿宋_GB2312"/>
          <w:b/>
          <w:kern w:val="0"/>
          <w:sz w:val="30"/>
          <w:szCs w:val="30"/>
          <w:highlight w:val="none"/>
          <w:lang w:val="en-US" w:eastAsia="zh-CN"/>
        </w:rPr>
        <w:t>商学院</w:t>
      </w:r>
    </w:p>
    <w:p w14:paraId="79E95B51">
      <w:pPr>
        <w:keepNext w:val="0"/>
        <w:keepLines w:val="0"/>
        <w:pageBreakBefore w:val="0"/>
        <w:kinsoku/>
        <w:overflowPunct/>
        <w:topLinePunct w:val="0"/>
        <w:autoSpaceDE/>
        <w:autoSpaceDN/>
        <w:bidi w:val="0"/>
        <w:adjustRightInd/>
        <w:snapToGrid/>
        <w:spacing w:line="550" w:lineRule="exact"/>
        <w:jc w:val="right"/>
        <w:textAlignment w:val="auto"/>
        <w:rPr>
          <w:rFonts w:hint="eastAsia" w:ascii="仿宋_GB2312" w:hAnsi="仿宋_GB2312" w:eastAsia="仿宋_GB2312" w:cs="仿宋_GB2312"/>
          <w:sz w:val="30"/>
          <w:szCs w:val="30"/>
          <w:highlight w:val="none"/>
        </w:rPr>
      </w:pPr>
      <w:r>
        <w:rPr>
          <w:rFonts w:hint="eastAsia" w:ascii="仿宋_GB2312" w:hAnsi="仿宋_GB2312" w:eastAsia="仿宋_GB2312" w:cs="仿宋_GB2312"/>
          <w:b/>
          <w:kern w:val="0"/>
          <w:sz w:val="30"/>
          <w:szCs w:val="30"/>
          <w:highlight w:val="none"/>
        </w:rPr>
        <w:t>202</w:t>
      </w:r>
      <w:r>
        <w:rPr>
          <w:rFonts w:hint="eastAsia" w:ascii="仿宋_GB2312" w:hAnsi="仿宋_GB2312" w:eastAsia="仿宋_GB2312" w:cs="仿宋_GB2312"/>
          <w:b/>
          <w:kern w:val="0"/>
          <w:sz w:val="30"/>
          <w:szCs w:val="30"/>
          <w:highlight w:val="none"/>
          <w:lang w:val="en-US" w:eastAsia="zh-CN"/>
        </w:rPr>
        <w:t>5</w:t>
      </w:r>
      <w:r>
        <w:rPr>
          <w:rFonts w:hint="eastAsia" w:ascii="仿宋_GB2312" w:hAnsi="仿宋_GB2312" w:eastAsia="仿宋_GB2312" w:cs="仿宋_GB2312"/>
          <w:b/>
          <w:kern w:val="0"/>
          <w:sz w:val="30"/>
          <w:szCs w:val="30"/>
          <w:highlight w:val="none"/>
        </w:rPr>
        <w:t>年11月</w:t>
      </w:r>
      <w:r>
        <w:rPr>
          <w:rFonts w:hint="eastAsia" w:ascii="仿宋_GB2312" w:hAnsi="仿宋_GB2312" w:eastAsia="仿宋_GB2312" w:cs="仿宋_GB2312"/>
          <w:b/>
          <w:kern w:val="0"/>
          <w:sz w:val="30"/>
          <w:szCs w:val="30"/>
          <w:highlight w:val="none"/>
          <w:lang w:val="en-US" w:eastAsia="zh-CN"/>
        </w:rPr>
        <w:t>7</w:t>
      </w:r>
      <w:r>
        <w:rPr>
          <w:rFonts w:hint="eastAsia" w:ascii="仿宋_GB2312" w:hAnsi="仿宋_GB2312" w:eastAsia="仿宋_GB2312" w:cs="仿宋_GB2312"/>
          <w:b/>
          <w:kern w:val="0"/>
          <w:sz w:val="30"/>
          <w:szCs w:val="30"/>
          <w:highlight w:val="none"/>
        </w:rPr>
        <w:t>日</w:t>
      </w:r>
    </w:p>
    <w:p w14:paraId="5CA90301">
      <w:pPr>
        <w:keepNext w:val="0"/>
        <w:keepLines w:val="0"/>
        <w:pageBreakBefore w:val="0"/>
        <w:kinsoku/>
        <w:overflowPunct/>
        <w:topLinePunct w:val="0"/>
        <w:autoSpaceDE/>
        <w:autoSpaceDN/>
        <w:bidi w:val="0"/>
        <w:adjustRightInd/>
        <w:snapToGrid/>
        <w:spacing w:line="550" w:lineRule="exact"/>
        <w:textAlignment w:val="auto"/>
      </w:pP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FangSong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48F448">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6DB0200">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6DB0200">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A93B0D"/>
    <w:rsid w:val="02556B4B"/>
    <w:rsid w:val="05A86320"/>
    <w:rsid w:val="06FE05D1"/>
    <w:rsid w:val="093260CD"/>
    <w:rsid w:val="09EC1D76"/>
    <w:rsid w:val="0A0124A3"/>
    <w:rsid w:val="0AAF19C5"/>
    <w:rsid w:val="0BF73B5D"/>
    <w:rsid w:val="0F6239E3"/>
    <w:rsid w:val="0F8B4CE8"/>
    <w:rsid w:val="11755C50"/>
    <w:rsid w:val="1247608D"/>
    <w:rsid w:val="124F46F3"/>
    <w:rsid w:val="12631F4C"/>
    <w:rsid w:val="133E02C4"/>
    <w:rsid w:val="15F630D7"/>
    <w:rsid w:val="20AA6F98"/>
    <w:rsid w:val="20E406FC"/>
    <w:rsid w:val="20EF0E4F"/>
    <w:rsid w:val="245B0CD5"/>
    <w:rsid w:val="25916979"/>
    <w:rsid w:val="28686765"/>
    <w:rsid w:val="28DC4E6F"/>
    <w:rsid w:val="29624061"/>
    <w:rsid w:val="2A540ED2"/>
    <w:rsid w:val="2FC5794B"/>
    <w:rsid w:val="31AB2B70"/>
    <w:rsid w:val="31D64091"/>
    <w:rsid w:val="34645984"/>
    <w:rsid w:val="351A6043"/>
    <w:rsid w:val="35FE15FA"/>
    <w:rsid w:val="372D1C56"/>
    <w:rsid w:val="376143FD"/>
    <w:rsid w:val="39445D84"/>
    <w:rsid w:val="3A577D39"/>
    <w:rsid w:val="3B023ABE"/>
    <w:rsid w:val="41894C7C"/>
    <w:rsid w:val="44ED72D0"/>
    <w:rsid w:val="46584C1D"/>
    <w:rsid w:val="471A0124"/>
    <w:rsid w:val="479A3013"/>
    <w:rsid w:val="48482A6F"/>
    <w:rsid w:val="4AA85A47"/>
    <w:rsid w:val="4B2347A4"/>
    <w:rsid w:val="53CE29C2"/>
    <w:rsid w:val="53D855EF"/>
    <w:rsid w:val="54880DC3"/>
    <w:rsid w:val="56521689"/>
    <w:rsid w:val="58AC7168"/>
    <w:rsid w:val="590A624B"/>
    <w:rsid w:val="5C5F1FA2"/>
    <w:rsid w:val="5CB70498"/>
    <w:rsid w:val="5DBC7D30"/>
    <w:rsid w:val="5E6A472D"/>
    <w:rsid w:val="6110461A"/>
    <w:rsid w:val="63807109"/>
    <w:rsid w:val="6D8E6C32"/>
    <w:rsid w:val="6E182D60"/>
    <w:rsid w:val="6EB56801"/>
    <w:rsid w:val="6EBD7464"/>
    <w:rsid w:val="735944A9"/>
    <w:rsid w:val="74DE7DCA"/>
    <w:rsid w:val="75AC4499"/>
    <w:rsid w:val="76C75323"/>
    <w:rsid w:val="780103C1"/>
    <w:rsid w:val="7D8A2C07"/>
    <w:rsid w:val="7EA128FE"/>
    <w:rsid w:val="7EF649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Autospacing="1" w:afterAutospacing="1"/>
      <w:jc w:val="left"/>
      <w:outlineLvl w:val="0"/>
    </w:pPr>
    <w:rPr>
      <w:rFonts w:hint="eastAsia" w:ascii="宋体" w:hAnsi="宋体" w:eastAsia="宋体" w:cs="Times New Roman"/>
      <w:b/>
      <w:kern w:val="44"/>
      <w:sz w:val="48"/>
      <w:szCs w:val="48"/>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Body Text"/>
    <w:basedOn w:val="1"/>
    <w:semiHidden/>
    <w:qFormat/>
    <w:uiPriority w:val="0"/>
    <w:rPr>
      <w:rFonts w:ascii="FangSong_GB2312" w:hAnsi="FangSong_GB2312" w:eastAsia="FangSong_GB2312" w:cs="FangSong_GB2312"/>
      <w:sz w:val="31"/>
      <w:szCs w:val="31"/>
      <w:lang w:val="en-US" w:eastAsia="en-US" w:bidi="ar-SA"/>
    </w:rPr>
  </w:style>
  <w:style w:type="paragraph" w:styleId="4">
    <w:name w:val="footer"/>
    <w:basedOn w:val="1"/>
    <w:qFormat/>
    <w:uiPriority w:val="0"/>
    <w:pPr>
      <w:tabs>
        <w:tab w:val="center" w:pos="4153"/>
        <w:tab w:val="right" w:pos="8306"/>
      </w:tabs>
      <w:snapToGrid w:val="0"/>
      <w:jc w:val="left"/>
    </w:pPr>
    <w:rPr>
      <w:sz w:val="18"/>
    </w:rPr>
  </w:style>
  <w:style w:type="paragraph" w:styleId="5">
    <w:name w:val="HTML Preformatted"/>
    <w:basedOn w:val="1"/>
    <w:unhideWhenUsed/>
    <w:qFormat/>
    <w:uiPriority w:val="99"/>
    <w:rPr>
      <w:rFonts w:ascii="Courier New" w:hAnsi="Courier New" w:cs="Courier New"/>
      <w:sz w:val="20"/>
      <w:szCs w:val="20"/>
    </w:rPr>
  </w:style>
  <w:style w:type="paragraph" w:styleId="6">
    <w:name w:val="Normal (Web)"/>
    <w:basedOn w:val="1"/>
    <w:qFormat/>
    <w:uiPriority w:val="0"/>
    <w:pPr>
      <w:spacing w:beforeAutospacing="1" w:afterAutospacing="1"/>
      <w:jc w:val="left"/>
    </w:pPr>
    <w:rPr>
      <w:rFonts w:cs="Times New Roman"/>
      <w:kern w:val="0"/>
      <w:sz w:val="24"/>
    </w:rPr>
  </w:style>
  <w:style w:type="character" w:styleId="9">
    <w:name w:val="Strong"/>
    <w:basedOn w:val="8"/>
    <w:qFormat/>
    <w:uiPriority w:val="0"/>
    <w:rPr>
      <w: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4834d8b5-2a46-45d5-a1ba-918327987b03</errorID>
      <errorWord>作</errorWord>
      <group>L1_Word</group>
      <groupName>字词问题</groupName>
      <ability>L2_Typo</ability>
      <abilityName>字词错误</abilityName>
      <candidateList>
        <item>做</item>
      </candidateList>
      <explain>存在发音相同字词的误用。</explain>
      <paraID>1FC22A1F</paraID>
      <start>41</start>
      <end>42</end>
      <status>modified</status>
      <modifiedWord>做</modifiedWord>
      <trackRevisions>false</trackRevisions>
    </reviewItem>
    <reviewItem>
      <errorID>aa3e2a78-7a6c-4d22-b9e1-118b170ac1be</errorID>
      <errorWord>;</errorWord>
      <group>L1_Format</group>
      <groupName>格式问题</groupName>
      <ability>L2_HalfPunc</ability>
      <abilityName>全半角检查</abilityName>
      <candidateList>
        <item>；</item>
      </candidateList>
      <explain>文本全半角错误。</explain>
      <paraID>64D4F02F</paraID>
      <start>37</start>
      <end>38</end>
      <status>modified</status>
      <modifiedWord>；</modifiedWord>
      <trackRevisions>false</trackRevisions>
    </reviewItem>
    <reviewItem>
      <errorID>37c0e59a-9034-45ff-a61f-856905515438</errorID>
      <errorWord>作</errorWord>
      <group>L1_Word</group>
      <groupName>字词问题</groupName>
      <ability>L2_Typo</ability>
      <abilityName>字词错误</abilityName>
      <candidateList>
        <item>做</item>
      </candidateList>
      <explain>存在发音相同字词的误用。</explain>
      <paraID>301052CC</paraID>
      <start>39</start>
      <end>40</end>
      <status>modified</status>
      <modifiedWord>做</modifiedWord>
      <trackRevisions>false</trackRevisions>
    </reviewItem>
    <reviewItem>
      <errorID>e6629c1b-736a-45c7-9970-28614f825cdd</errorID>
      <errorWord>其它</errorWord>
      <group>L1_Word</group>
      <groupName>字词问题</groupName>
      <ability>L2_Alias</ability>
      <abilityName>也作/曾用词</abilityName>
      <candidateList>
        <item>其他</item>
      </candidateList>
      <explain>词汇[其它]为不规范表述或旧称，其规范书面表述为[其他]。</explain>
      <paraID> E5DE419</paraID>
      <start>2</start>
      <end>4</end>
      <status>modified</status>
      <modifiedWord>其他</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a120564-e39d-4256-8ca8-6754c5adb506}">
  <ds:schemaRefs/>
</ds:datastoreItem>
</file>

<file path=docProps/app.xml><?xml version="1.0" encoding="utf-8"?>
<Properties xmlns="http://schemas.openxmlformats.org/officeDocument/2006/extended-properties" xmlns:vt="http://schemas.openxmlformats.org/officeDocument/2006/docPropsVTypes">
  <Template>Normal.dotm</Template>
  <Pages>7</Pages>
  <Words>3296</Words>
  <Characters>3421</Characters>
  <Lines>0</Lines>
  <Paragraphs>0</Paragraphs>
  <TotalTime>26</TotalTime>
  <ScaleCrop>false</ScaleCrop>
  <LinksUpToDate>false</LinksUpToDate>
  <CharactersWithSpaces>3450</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2025-11-05T11:01:00Z</dcterms:created>
  <dc:creator>Administrator</dc:creator>
  <cp:lastModifiedBy>企业用户_351392409</cp:lastModifiedBy>
  <dcterms:modified xsi:type="dcterms:W3CDTF">2025-11-10T00:47:08Z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KSOTemplateDocerSaveRecord">
    <vt:lpwstr>eyJoZGlkIjoiZWQzYWM3OWJjYWI0NmE1MGVkMjQxZmU3OTE4ZTQzMWIiLCJ1c2VySWQiOiIxNTkwNzQxNzkxIn0=</vt:lpwstr>
  </property>
  <property fmtid="{D5CDD505-2E9C-101B-9397-08002B2CF9AE}" pid="4" name="ICV">
    <vt:lpwstr>A7669D08A00D4D69989D97BBA065CA14_13</vt:lpwstr>
  </property>
</Properties>
</file>