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69" w:rsidRPr="000519FD" w:rsidRDefault="00736A69" w:rsidP="00736A69">
      <w:pPr>
        <w:adjustRightInd/>
        <w:snapToGrid/>
        <w:spacing w:after="0" w:line="580" w:lineRule="exact"/>
        <w:rPr>
          <w:rFonts w:ascii="仿宋_GB2312" w:eastAsia="仿宋_GB2312" w:hAnsi="华文中宋" w:cs="宋体"/>
          <w:sz w:val="32"/>
          <w:szCs w:val="32"/>
        </w:rPr>
      </w:pPr>
      <w:r w:rsidRPr="000519FD">
        <w:rPr>
          <w:rFonts w:ascii="仿宋_GB2312" w:eastAsia="仿宋_GB2312" w:hAnsi="华文中宋" w:cs="宋体" w:hint="eastAsia"/>
          <w:sz w:val="32"/>
          <w:szCs w:val="32"/>
        </w:rPr>
        <w:t>附件</w:t>
      </w:r>
      <w:r w:rsidR="009B6682">
        <w:rPr>
          <w:rFonts w:ascii="仿宋_GB2312" w:eastAsia="仿宋_GB2312" w:hAnsi="华文中宋" w:cs="宋体"/>
          <w:sz w:val="32"/>
          <w:szCs w:val="32"/>
        </w:rPr>
        <w:t>1</w:t>
      </w:r>
      <w:bookmarkStart w:id="0" w:name="_GoBack"/>
      <w:bookmarkEnd w:id="0"/>
    </w:p>
    <w:p w:rsidR="00736A69" w:rsidRPr="000519FD" w:rsidRDefault="00736A69" w:rsidP="00736A69">
      <w:pPr>
        <w:adjustRightInd/>
        <w:snapToGrid/>
        <w:spacing w:after="0" w:line="580" w:lineRule="exact"/>
        <w:jc w:val="center"/>
        <w:rPr>
          <w:rFonts w:ascii="华文中宋" w:eastAsia="华文中宋" w:hAnsi="华文中宋" w:cs="宋体"/>
          <w:sz w:val="44"/>
          <w:szCs w:val="44"/>
        </w:rPr>
      </w:pPr>
      <w:r w:rsidRPr="000519FD">
        <w:rPr>
          <w:rFonts w:ascii="华文中宋" w:eastAsia="华文中宋" w:hAnsi="华文中宋" w:cs="宋体" w:hint="eastAsia"/>
          <w:sz w:val="44"/>
          <w:szCs w:val="44"/>
        </w:rPr>
        <w:t>河南师范大学</w:t>
      </w:r>
    </w:p>
    <w:p w:rsidR="00736A69" w:rsidRPr="000519FD" w:rsidRDefault="00736A69" w:rsidP="00736A69">
      <w:pPr>
        <w:adjustRightInd/>
        <w:snapToGrid/>
        <w:spacing w:after="0" w:line="580" w:lineRule="exact"/>
        <w:jc w:val="center"/>
        <w:rPr>
          <w:rFonts w:ascii="华文中宋" w:eastAsia="华文中宋" w:hAnsi="华文中宋" w:cs="宋体"/>
          <w:sz w:val="44"/>
          <w:szCs w:val="44"/>
        </w:rPr>
      </w:pPr>
      <w:r w:rsidRPr="000519FD">
        <w:rPr>
          <w:rFonts w:ascii="华文中宋" w:eastAsia="华文中宋" w:hAnsi="华文中宋" w:cs="宋体" w:hint="eastAsia"/>
          <w:sz w:val="44"/>
          <w:szCs w:val="44"/>
        </w:rPr>
        <w:t>202</w:t>
      </w:r>
      <w:r>
        <w:rPr>
          <w:rFonts w:ascii="华文中宋" w:eastAsia="华文中宋" w:hAnsi="华文中宋" w:cs="宋体"/>
          <w:sz w:val="44"/>
          <w:szCs w:val="44"/>
        </w:rPr>
        <w:t>1</w:t>
      </w:r>
      <w:r w:rsidRPr="000519FD">
        <w:rPr>
          <w:rFonts w:ascii="华文中宋" w:eastAsia="华文中宋" w:hAnsi="华文中宋" w:cs="宋体" w:hint="eastAsia"/>
          <w:sz w:val="44"/>
          <w:szCs w:val="44"/>
        </w:rPr>
        <w:t>年硕士研究生网上复试备选方案</w:t>
      </w:r>
    </w:p>
    <w:p w:rsidR="00736A69" w:rsidRPr="000519FD" w:rsidRDefault="00736A69" w:rsidP="00736A69">
      <w:pPr>
        <w:adjustRightInd/>
        <w:snapToGrid/>
        <w:spacing w:beforeLines="50" w:before="120"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河南师范大学202</w:t>
      </w:r>
      <w:r>
        <w:rPr>
          <w:rFonts w:ascii="仿宋_GB2312" w:eastAsia="仿宋_GB2312" w:hAnsiTheme="minorEastAsia" w:cs="宋体"/>
          <w:color w:val="474747"/>
          <w:sz w:val="32"/>
          <w:szCs w:val="32"/>
        </w:rPr>
        <w:t>1</w:t>
      </w: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年硕士研究生招生</w:t>
      </w:r>
      <w:r>
        <w:rPr>
          <w:rFonts w:ascii="仿宋_GB2312" w:eastAsia="仿宋_GB2312" w:hAnsiTheme="minorEastAsia" w:cs="宋体" w:hint="eastAsia"/>
          <w:color w:val="474747"/>
          <w:sz w:val="32"/>
          <w:szCs w:val="32"/>
        </w:rPr>
        <w:t>复试</w:t>
      </w: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考生，采用网上复试的方式进行复试，复试平台备选“钉钉”软件，请考生相应做好以下准备。</w:t>
      </w:r>
    </w:p>
    <w:p w:rsidR="00736A69" w:rsidRPr="000519FD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474747"/>
          <w:sz w:val="32"/>
          <w:szCs w:val="32"/>
        </w:rPr>
      </w:pPr>
      <w:r w:rsidRPr="000519FD">
        <w:rPr>
          <w:rFonts w:ascii="黑体" w:eastAsia="黑体" w:hAnsi="黑体" w:cs="宋体" w:hint="eastAsia"/>
          <w:color w:val="474747"/>
          <w:sz w:val="32"/>
          <w:szCs w:val="32"/>
        </w:rPr>
        <w:t>一、硬件准备</w:t>
      </w:r>
    </w:p>
    <w:p w:rsidR="00736A69" w:rsidRPr="000519FD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提前准备和调试好硬件设备。1台电脑（台式机或者笔记本电脑）和1部智能手机、高清摄像头、话筒、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耳麦等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。如果电脑本身配置的摄像头、话筒效果较好，可直接使用；如果效果不理想，需要额外配备。尽可能使用电脑及有线网络进行网上复试，如确有困难的可仅使用智能手机，需准备两部手机，并保持电量充足。</w:t>
      </w:r>
    </w:p>
    <w:p w:rsidR="00736A69" w:rsidRPr="000519FD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474747"/>
          <w:sz w:val="32"/>
          <w:szCs w:val="32"/>
        </w:rPr>
      </w:pPr>
      <w:r w:rsidRPr="000519FD">
        <w:rPr>
          <w:rFonts w:ascii="黑体" w:eastAsia="黑体" w:hAnsi="黑体" w:cs="宋体" w:hint="eastAsia"/>
          <w:color w:val="474747"/>
          <w:sz w:val="32"/>
          <w:szCs w:val="32"/>
        </w:rPr>
        <w:t>二、软件准备</w:t>
      </w:r>
    </w:p>
    <w:p w:rsidR="00736A69" w:rsidRPr="000519FD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请考生在电脑和手机上安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装钉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钉软件或APP作为备用平台。</w:t>
      </w:r>
    </w:p>
    <w:p w:rsidR="00736A69" w:rsidRPr="000519FD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用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研招网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报考时填报的手机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号注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册钉钉主账号，然后进行实名认证。若原报考手机号已不能使用，需及时与所报考学院（部）取得联系，进行换号操作。</w:t>
      </w:r>
    </w:p>
    <w:p w:rsidR="00736A69" w:rsidRPr="000519FD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同时需要用注册钉钉备用账号，作为备用机位。</w:t>
      </w:r>
    </w:p>
    <w:p w:rsidR="00736A69" w:rsidRPr="000519FD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474747"/>
          <w:sz w:val="32"/>
          <w:szCs w:val="32"/>
        </w:rPr>
      </w:pPr>
      <w:r w:rsidRPr="000519FD">
        <w:rPr>
          <w:rFonts w:ascii="黑体" w:eastAsia="黑体" w:hAnsi="黑体" w:cs="宋体" w:hint="eastAsia"/>
          <w:color w:val="474747"/>
          <w:sz w:val="32"/>
          <w:szCs w:val="32"/>
        </w:rPr>
        <w:t>三、环境要求</w:t>
      </w:r>
    </w:p>
    <w:p w:rsidR="00736A69" w:rsidRPr="000519FD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网络通畅、光线适宜、安静、无干扰、相对封闭的独立空间。</w:t>
      </w:r>
    </w:p>
    <w:p w:rsidR="00736A69" w:rsidRPr="000519FD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lastRenderedPageBreak/>
        <w:t>复试场所考生座位1.5m范围内不得存放任何书刊、报纸、资料、其他电子设备等。提前熟悉复试流程和软件操作，确保面试全程网络稳定、畅通，视频画面清晰，音频传输流畅。</w:t>
      </w:r>
    </w:p>
    <w:p w:rsidR="00736A69" w:rsidRPr="000519FD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考生考场设立“双机位”，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主机位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为考生电脑（或智能手机），主要用于回答复试专家的问题。要求考生衣着得体，全程五官清楚显露，座位与电脑之间距离以视频中能显示人体上半身为宜。</w:t>
      </w:r>
    </w:p>
    <w:p w:rsidR="00736A69" w:rsidRPr="000519FD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备用机位为考生另一部智能手机，主要用于考生考场的视频监考，要求画面清晰,手机固定于考生侧后方大致1.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5米远高的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位置，以视频中能显示考生及考生操作台的全景为宜。</w:t>
      </w:r>
    </w:p>
    <w:p w:rsidR="00736A69" w:rsidRPr="000519FD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474747"/>
          <w:sz w:val="32"/>
          <w:szCs w:val="32"/>
        </w:rPr>
      </w:pPr>
      <w:r w:rsidRPr="000519FD">
        <w:rPr>
          <w:rFonts w:ascii="黑体" w:eastAsia="黑体" w:hAnsi="黑体" w:cs="宋体" w:hint="eastAsia"/>
          <w:color w:val="474747"/>
          <w:sz w:val="32"/>
          <w:szCs w:val="32"/>
        </w:rPr>
        <w:t>四、考生分组</w:t>
      </w:r>
    </w:p>
    <w:p w:rsidR="00736A69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学院（部）复试前会进行随机分组，面试分组确定后，学院（部）会提前通知各位考生，考生可进入钉钉查看所在的面试组，并与主考官（群主）联系，按命名要求将备用机位使用备用账号由主考官拉入钉钉群中，考生在该群仅能接收主考官的消息和视频会议连线，但可以向主考官（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即群主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）发钉钉消息。主考官会在复试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前采用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钉钉视频联系，进行考生身份验证，并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在线签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署《诚信复试承诺书》，请考生提前准备身份证、准考证。</w:t>
      </w:r>
    </w:p>
    <w:p w:rsidR="00736A69" w:rsidRPr="000519FD" w:rsidRDefault="00736A69" w:rsidP="00736A69">
      <w:pPr>
        <w:keepNext/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黑体" w:eastAsia="黑体" w:hAnsi="黑体" w:cs="宋体" w:hint="eastAsia"/>
          <w:color w:val="474747"/>
          <w:sz w:val="32"/>
          <w:szCs w:val="32"/>
        </w:rPr>
        <w:t>五、复试候场</w:t>
      </w:r>
    </w:p>
    <w:p w:rsidR="00736A69" w:rsidRPr="000519FD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复试当天，启用备用复试平台时，各位考生在规定时间登录“钉钉”，向主考官发送钉钉消息报到后耐心等待。主</w:t>
      </w: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lastRenderedPageBreak/>
        <w:t>考官会按面试顺序发起视频连线。主机位、备用机位正常视频连线后，主考官会再次进行身份验证（出示身份证、准考证）；考生按照要求，与主考官共同进行环境检查。所有检查程序完成后，保持视频的连接状态，等待进入复试环节。</w:t>
      </w:r>
    </w:p>
    <w:p w:rsidR="00736A69" w:rsidRPr="000519FD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黑体" w:eastAsia="黑体" w:hAnsi="黑体" w:cs="宋体"/>
          <w:color w:val="474747"/>
          <w:sz w:val="32"/>
          <w:szCs w:val="32"/>
        </w:rPr>
      </w:pPr>
      <w:r w:rsidRPr="000519FD">
        <w:rPr>
          <w:rFonts w:ascii="黑体" w:eastAsia="黑体" w:hAnsi="黑体" w:cs="宋体" w:hint="eastAsia"/>
          <w:color w:val="474747"/>
          <w:sz w:val="32"/>
          <w:szCs w:val="32"/>
        </w:rPr>
        <w:t>六、诚信复试</w:t>
      </w:r>
    </w:p>
    <w:p w:rsidR="00736A69" w:rsidRPr="000519FD" w:rsidRDefault="00736A69" w:rsidP="00736A69">
      <w:pPr>
        <w:adjustRightInd/>
        <w:snapToGrid/>
        <w:spacing w:after="0" w:line="580" w:lineRule="exact"/>
        <w:ind w:firstLineChars="200" w:firstLine="640"/>
        <w:jc w:val="both"/>
        <w:rPr>
          <w:rFonts w:ascii="仿宋_GB2312" w:eastAsia="仿宋_GB2312" w:hAnsiTheme="minorEastAsia" w:cs="宋体"/>
          <w:color w:val="474747"/>
          <w:sz w:val="32"/>
          <w:szCs w:val="32"/>
        </w:rPr>
      </w:pPr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研究生招生考试是国家教育考试，复试工作是研究生招生考试的重要组成部分。考生诚信守</w:t>
      </w:r>
      <w:proofErr w:type="gramStart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规</w:t>
      </w:r>
      <w:proofErr w:type="gramEnd"/>
      <w:r w:rsidRPr="000519FD">
        <w:rPr>
          <w:rFonts w:ascii="仿宋_GB2312" w:eastAsia="仿宋_GB2312" w:hAnsiTheme="minorEastAsia" w:cs="宋体" w:hint="eastAsia"/>
          <w:color w:val="474747"/>
          <w:sz w:val="32"/>
          <w:szCs w:val="32"/>
        </w:rPr>
        <w:t>参加复试。对在复试过程中有违规行为，按照《国家教育考试违规处理办法》《普通高等学校招生违规行为处理暂行办法》《中华人民共和国刑法修正案（九）》等规定严肃处理。复试过程中，须保持网络通畅，全程不得关闭摄像头和话筒，诚信回答各环节专家提问，不以任何形式作弊。</w:t>
      </w:r>
    </w:p>
    <w:p w:rsidR="00CA228F" w:rsidRPr="00736A69" w:rsidRDefault="00CA228F"/>
    <w:sectPr w:rsidR="00CA228F" w:rsidRPr="00736A69" w:rsidSect="003E2FF3">
      <w:footerReference w:type="default" r:id="rId6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8E" w:rsidRDefault="00A73F8E">
      <w:pPr>
        <w:spacing w:after="0"/>
      </w:pPr>
      <w:r>
        <w:separator/>
      </w:r>
    </w:p>
  </w:endnote>
  <w:endnote w:type="continuationSeparator" w:id="0">
    <w:p w:rsidR="00A73F8E" w:rsidRDefault="00A73F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467658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0519FD" w:rsidRPr="000519FD" w:rsidRDefault="00736A69">
        <w:pPr>
          <w:pStyle w:val="a3"/>
          <w:jc w:val="center"/>
          <w:rPr>
            <w:rFonts w:ascii="Batang" w:eastAsia="Batang" w:hAnsi="Batang"/>
            <w:sz w:val="28"/>
            <w:szCs w:val="28"/>
          </w:rPr>
        </w:pPr>
        <w:r>
          <w:rPr>
            <w:rFonts w:ascii="Batang" w:eastAsia="Batang" w:hAnsi="Batang"/>
            <w:sz w:val="28"/>
            <w:szCs w:val="28"/>
          </w:rPr>
          <w:t>-</w:t>
        </w:r>
        <w:r w:rsidRPr="000519FD">
          <w:rPr>
            <w:rFonts w:ascii="Batang" w:eastAsia="Batang" w:hAnsi="Batang"/>
            <w:sz w:val="28"/>
            <w:szCs w:val="28"/>
          </w:rPr>
          <w:t xml:space="preserve"> </w:t>
        </w:r>
        <w:r w:rsidRPr="000519FD">
          <w:rPr>
            <w:rFonts w:ascii="Batang" w:eastAsia="Batang" w:hAnsi="Batang"/>
            <w:sz w:val="28"/>
            <w:szCs w:val="28"/>
          </w:rPr>
          <w:fldChar w:fldCharType="begin"/>
        </w:r>
        <w:r w:rsidRPr="000519FD">
          <w:rPr>
            <w:rFonts w:ascii="Batang" w:eastAsia="Batang" w:hAnsi="Batang"/>
            <w:sz w:val="28"/>
            <w:szCs w:val="28"/>
          </w:rPr>
          <w:instrText>PAGE   \* MERGEFORMAT</w:instrText>
        </w:r>
        <w:r w:rsidRPr="000519FD">
          <w:rPr>
            <w:rFonts w:ascii="Batang" w:eastAsia="Batang" w:hAnsi="Batang"/>
            <w:sz w:val="28"/>
            <w:szCs w:val="28"/>
          </w:rPr>
          <w:fldChar w:fldCharType="separate"/>
        </w:r>
        <w:r w:rsidRPr="000519FD">
          <w:rPr>
            <w:rFonts w:ascii="Batang" w:eastAsia="Batang" w:hAnsi="Batang"/>
            <w:sz w:val="28"/>
            <w:szCs w:val="28"/>
            <w:lang w:val="zh-CN"/>
          </w:rPr>
          <w:t>2</w:t>
        </w:r>
        <w:r w:rsidRPr="000519FD">
          <w:rPr>
            <w:rFonts w:ascii="Batang" w:eastAsia="Batang" w:hAnsi="Batang"/>
            <w:sz w:val="28"/>
            <w:szCs w:val="28"/>
          </w:rPr>
          <w:fldChar w:fldCharType="end"/>
        </w:r>
        <w:r>
          <w:rPr>
            <w:rFonts w:ascii="Batang" w:eastAsia="Batang" w:hAnsi="Batang"/>
            <w:sz w:val="28"/>
            <w:szCs w:val="28"/>
          </w:rPr>
          <w:t>-</w:t>
        </w:r>
      </w:p>
    </w:sdtContent>
  </w:sdt>
  <w:p w:rsidR="000519FD" w:rsidRDefault="00A73F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8E" w:rsidRDefault="00A73F8E">
      <w:pPr>
        <w:spacing w:after="0"/>
      </w:pPr>
      <w:r>
        <w:separator/>
      </w:r>
    </w:p>
  </w:footnote>
  <w:footnote w:type="continuationSeparator" w:id="0">
    <w:p w:rsidR="00A73F8E" w:rsidRDefault="00A73F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69"/>
    <w:rsid w:val="00736A69"/>
    <w:rsid w:val="009B6682"/>
    <w:rsid w:val="00A73F8E"/>
    <w:rsid w:val="00C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BD0DD"/>
  <w15:chartTrackingRefBased/>
  <w15:docId w15:val="{BDBF29C4-1156-47C4-8A6E-46FC0E61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A6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6A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36A69"/>
    <w:rPr>
      <w:rFonts w:ascii="Tahoma" w:eastAsia="微软雅黑" w:hAnsi="Tahoma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6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668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2021-03-23T09:04:00Z</dcterms:created>
  <dcterms:modified xsi:type="dcterms:W3CDTF">2021-03-23T09:05:00Z</dcterms:modified>
</cp:coreProperties>
</file>