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2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shd w:val="clear" w:color="auto" w:fill="FFFFFF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在新高校院系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eastAsia="zh-CN"/>
        </w:rPr>
        <w:t>考核评定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体系指标（近五年）</w:t>
      </w:r>
      <w:bookmarkEnd w:id="0"/>
    </w:p>
    <w:tbl>
      <w:tblPr>
        <w:tblStyle w:val="2"/>
        <w:tblW w:w="821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268"/>
        <w:gridCol w:w="4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tblHeader/>
        </w:trPr>
        <w:tc>
          <w:tcPr>
            <w:tcW w:w="156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eastAsia="黑体"/>
                <w:color w:val="auto"/>
              </w:rPr>
            </w:pPr>
            <w:r>
              <w:rPr>
                <w:rFonts w:hint="eastAsia" w:ascii="黑体" w:eastAsia="黑体"/>
                <w:color w:val="auto"/>
              </w:rPr>
              <w:t>一级指标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eastAsia="黑体"/>
                <w:color w:val="auto"/>
              </w:rPr>
            </w:pPr>
            <w:r>
              <w:rPr>
                <w:rFonts w:hint="eastAsia" w:ascii="黑体" w:eastAsia="黑体"/>
                <w:color w:val="auto"/>
              </w:rPr>
              <w:t>二级指标</w:t>
            </w:r>
          </w:p>
        </w:tc>
        <w:tc>
          <w:tcPr>
            <w:tcW w:w="438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eastAsia="黑体"/>
                <w:color w:val="auto"/>
              </w:rPr>
            </w:pPr>
            <w:r>
              <w:rPr>
                <w:rFonts w:hint="eastAsia" w:ascii="黑体" w:eastAsia="黑体"/>
                <w:color w:val="auto"/>
              </w:rPr>
              <w:t>三级指标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56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人才培养</w:t>
            </w:r>
          </w:p>
        </w:tc>
        <w:tc>
          <w:tcPr>
            <w:tcW w:w="2268" w:type="dxa"/>
            <w:vMerge w:val="restart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专业建设、师资队伍建设</w:t>
            </w:r>
          </w:p>
        </w:tc>
        <w:tc>
          <w:tcPr>
            <w:tcW w:w="4388" w:type="dxa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国家级、省级一流专业、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/>
              </w:rPr>
              <w:t>一流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课程数量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6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268" w:type="dxa"/>
            <w:vMerge w:val="continue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4388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/>
              </w:rPr>
              <w:t>博士学位占专任教师比例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156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268" w:type="dxa"/>
            <w:vMerge w:val="continue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4388" w:type="dxa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副高级以上职称占专任教师比例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56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268" w:type="dxa"/>
            <w:vMerge w:val="continue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4388" w:type="dxa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入选省部级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以上人才工程专家、获省部级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以上教学名师、优秀教师数量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56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268" w:type="dxa"/>
            <w:vMerge w:val="restart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教学改革与教学成果</w:t>
            </w:r>
          </w:p>
        </w:tc>
        <w:tc>
          <w:tcPr>
            <w:tcW w:w="4388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获国家、省级教育教学成果奖励数量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56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268" w:type="dxa"/>
            <w:vMerge w:val="continue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4388" w:type="dxa"/>
            <w:vMerge w:val="continue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56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268" w:type="dxa"/>
            <w:vMerge w:val="continue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4388" w:type="dxa"/>
            <w:vMerge w:val="restart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省部级以上教学质量工程项目数量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56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268" w:type="dxa"/>
            <w:vMerge w:val="continue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4388" w:type="dxa"/>
            <w:vMerge w:val="continue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56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268" w:type="dxa"/>
            <w:vMerge w:val="continue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4388" w:type="dxa"/>
            <w:vMerge w:val="continue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56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268" w:type="dxa"/>
            <w:vMerge w:val="restart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学生创新实践能力</w:t>
            </w:r>
          </w:p>
        </w:tc>
        <w:tc>
          <w:tcPr>
            <w:tcW w:w="4388" w:type="dxa"/>
            <w:vMerge w:val="restart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获国家、省级大学生创新创业训练计划项目数量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56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268" w:type="dxa"/>
            <w:vMerge w:val="continue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4388" w:type="dxa"/>
            <w:vMerge w:val="continue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56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268" w:type="dxa"/>
            <w:vMerge w:val="continue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4388" w:type="dxa"/>
            <w:vMerge w:val="restart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学生参加各类竞赛获得国家、省级奖励数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56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268" w:type="dxa"/>
            <w:vMerge w:val="continue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4388" w:type="dxa"/>
            <w:vMerge w:val="continue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  <w:p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科学研究</w:t>
            </w:r>
          </w:p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科技创新平台建设</w:t>
            </w:r>
          </w:p>
        </w:tc>
        <w:tc>
          <w:tcPr>
            <w:tcW w:w="4388" w:type="dxa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国家级、省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/>
              </w:rPr>
              <w:t>（部）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级科技创新平台数量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 xml:space="preserve">创新成果产出能力 </w:t>
            </w:r>
          </w:p>
        </w:tc>
        <w:tc>
          <w:tcPr>
            <w:tcW w:w="4388" w:type="dxa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获国家级、省部级、市（厅）级科技成果奖励数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56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重大科技创新项目承担能力</w:t>
            </w:r>
          </w:p>
        </w:tc>
        <w:tc>
          <w:tcPr>
            <w:tcW w:w="4388" w:type="dxa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承担国家级、省部级、市（厅）级科技创新项目数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restart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服务经济社会发展能力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Merge w:val="restart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科技成果转化能力</w:t>
            </w:r>
          </w:p>
        </w:tc>
        <w:tc>
          <w:tcPr>
            <w:tcW w:w="4388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与企业（特别是与新乡企业）开展技术合作合同数；授权专利数量数、发明专利数；研发的新生产工艺、新产品、新材料、新设备、新行业标准或规范数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 w:val="0"/>
            <w:vAlign w:val="top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Merge w:val="continue"/>
            <w:noWrap w:val="0"/>
            <w:vAlign w:val="top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4388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技术转让到帐金额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 w:val="0"/>
            <w:vAlign w:val="top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Merge w:val="restart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决策咨询及科技培训情况</w:t>
            </w:r>
          </w:p>
        </w:tc>
        <w:tc>
          <w:tcPr>
            <w:tcW w:w="4388" w:type="dxa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提出的决策咨询报告被市（厅）级以上政府（单位）采用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 w:val="0"/>
            <w:vAlign w:val="top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Merge w:val="continue"/>
            <w:noWrap w:val="0"/>
            <w:vAlign w:val="top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4388" w:type="dxa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参与科技特派员助力乡村振兴行动计划、承担新乡市各类科技培训任务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 w:val="0"/>
            <w:vAlign w:val="top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毕业生留新工作比例</w:t>
            </w:r>
          </w:p>
        </w:tc>
        <w:tc>
          <w:tcPr>
            <w:tcW w:w="4388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毕业生留新乡工作占全部毕业生比例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助推新乡经济社会高质量发展</w:t>
            </w:r>
          </w:p>
        </w:tc>
        <w:tc>
          <w:tcPr>
            <w:tcW w:w="4388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积极参与校地协作，在校地人才队伍共享、大型仪器设备共用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产教融合、激发全社会创新活力和动力等方面做出的成绩</w:t>
            </w:r>
          </w:p>
          <w:p>
            <w:pPr>
              <w:adjustRightInd w:val="0"/>
              <w:snapToGrid w:val="0"/>
              <w:spacing w:line="0" w:lineRule="atLeas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kNDMwZWI5YThkMWFmODU5M2JjMzc3MGFiZGMzYmIifQ=="/>
  </w:docVars>
  <w:rsids>
    <w:rsidRoot w:val="72BD49F3"/>
    <w:rsid w:val="72BD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2023-08-09T01:32:00Z</dcterms:created>
  <dc:creator>炳辉</dc:creator>
  <cp:lastModifiedBy>炳辉</cp:lastModifiedBy>
  <dcterms:modified xsi:type="dcterms:W3CDTF">2023-08-09T01:33:18Z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DADD60DDA0D14E0C88209D35A3FAD12C_11</vt:lpwstr>
  </property>
</Properties>
</file>