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55" w:rsidRDefault="00642855" w:rsidP="00642855">
      <w:pPr>
        <w:spacing w:line="360" w:lineRule="auto"/>
        <w:rPr>
          <w:rFonts w:ascii="宋体" w:eastAsia="宋体" w:hAnsi="宋体" w:cs="Times New Roman" w:hint="eastAsia"/>
          <w:b/>
          <w:color w:val="000000"/>
          <w:sz w:val="30"/>
          <w:szCs w:val="30"/>
        </w:rPr>
      </w:pPr>
      <w:r w:rsidRPr="00642855">
        <w:rPr>
          <w:rFonts w:ascii="宋体" w:eastAsia="宋体" w:hAnsi="宋体" w:cs="Times New Roman"/>
          <w:b/>
          <w:color w:val="000000"/>
          <w:sz w:val="30"/>
          <w:szCs w:val="30"/>
        </w:rPr>
        <w:t>附件</w:t>
      </w:r>
      <w:r w:rsidRPr="00642855">
        <w:rPr>
          <w:rFonts w:ascii="宋体" w:eastAsia="宋体" w:hAnsi="宋体" w:cs="Times New Roman" w:hint="eastAsia"/>
          <w:b/>
          <w:color w:val="000000"/>
          <w:sz w:val="30"/>
          <w:szCs w:val="30"/>
        </w:rPr>
        <w:t>1</w:t>
      </w:r>
      <w:r w:rsidRPr="00642855">
        <w:rPr>
          <w:rFonts w:ascii="宋体" w:eastAsia="宋体" w:hAnsi="宋体" w:cs="Times New Roman"/>
          <w:b/>
          <w:color w:val="000000"/>
          <w:sz w:val="30"/>
          <w:szCs w:val="30"/>
        </w:rPr>
        <w:t>：</w:t>
      </w:r>
    </w:p>
    <w:p w:rsidR="00642855" w:rsidRPr="00642855" w:rsidRDefault="00642855" w:rsidP="00642855">
      <w:pPr>
        <w:spacing w:line="360" w:lineRule="auto"/>
        <w:ind w:firstLineChars="700" w:firstLine="2108"/>
        <w:rPr>
          <w:rFonts w:ascii="宋体" w:eastAsia="宋体" w:hAnsi="宋体" w:cs="Times New Roman"/>
          <w:b/>
          <w:color w:val="000000"/>
          <w:sz w:val="30"/>
          <w:szCs w:val="30"/>
        </w:rPr>
      </w:pPr>
      <w:bookmarkStart w:id="0" w:name="_GoBack"/>
      <w:bookmarkEnd w:id="0"/>
      <w:r w:rsidRPr="00642855">
        <w:rPr>
          <w:rFonts w:ascii="宋体" w:eastAsia="宋体" w:hAnsi="宋体" w:cs="Times New Roman"/>
          <w:b/>
          <w:color w:val="000000"/>
          <w:sz w:val="30"/>
          <w:szCs w:val="30"/>
        </w:rPr>
        <w:t>网络视频答辩</w:t>
      </w:r>
      <w:r w:rsidRPr="00642855">
        <w:rPr>
          <w:rFonts w:ascii="宋体" w:eastAsia="宋体" w:hAnsi="宋体" w:cs="Times New Roman" w:hint="eastAsia"/>
          <w:b/>
          <w:color w:val="000000"/>
          <w:sz w:val="30"/>
          <w:szCs w:val="30"/>
        </w:rPr>
        <w:t>申请流程及</w:t>
      </w:r>
      <w:r w:rsidRPr="00642855">
        <w:rPr>
          <w:rFonts w:ascii="宋体" w:eastAsia="宋体" w:hAnsi="宋体" w:cs="Times New Roman"/>
          <w:b/>
          <w:color w:val="000000"/>
          <w:sz w:val="30"/>
          <w:szCs w:val="30"/>
        </w:rPr>
        <w:t>要求</w:t>
      </w:r>
    </w:p>
    <w:p w:rsidR="00642855" w:rsidRPr="00642855" w:rsidRDefault="00642855" w:rsidP="00642855">
      <w:pPr>
        <w:spacing w:beforeLines="50" w:before="156" w:afterLines="50" w:after="156" w:line="360" w:lineRule="auto"/>
        <w:rPr>
          <w:rFonts w:ascii="宋体" w:eastAsia="宋体" w:hAnsi="宋体" w:cs="Times New Roman"/>
          <w:b/>
          <w:color w:val="000000"/>
          <w:sz w:val="24"/>
          <w:szCs w:val="24"/>
        </w:rPr>
      </w:pPr>
      <w:r w:rsidRPr="00642855">
        <w:rPr>
          <w:rFonts w:ascii="宋体" w:eastAsia="宋体" w:hAnsi="宋体" w:cs="Times New Roman" w:hint="eastAsia"/>
          <w:b/>
          <w:color w:val="000000"/>
          <w:sz w:val="24"/>
          <w:szCs w:val="24"/>
        </w:rPr>
        <w:t>一、学院答辩准备工作</w:t>
      </w:r>
    </w:p>
    <w:p w:rsidR="00642855" w:rsidRPr="00642855" w:rsidRDefault="00642855" w:rsidP="00642855">
      <w:pPr>
        <w:snapToGrid w:val="0"/>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1、</w:t>
      </w:r>
      <w:r w:rsidRPr="00642855">
        <w:rPr>
          <w:rFonts w:ascii="宋体" w:eastAsia="宋体" w:hAnsi="宋体" w:cs="Times New Roman"/>
          <w:color w:val="000000"/>
          <w:sz w:val="24"/>
          <w:szCs w:val="24"/>
        </w:rPr>
        <w:t>网络视频答辩软件要求：软件功能稳定</w:t>
      </w:r>
      <w:r w:rsidRPr="00642855">
        <w:rPr>
          <w:rFonts w:ascii="宋体" w:eastAsia="宋体" w:hAnsi="宋体" w:cs="Times New Roman" w:hint="eastAsia"/>
          <w:color w:val="000000"/>
          <w:sz w:val="24"/>
          <w:szCs w:val="24"/>
        </w:rPr>
        <w:t>、</w:t>
      </w:r>
      <w:r w:rsidRPr="00642855">
        <w:rPr>
          <w:rFonts w:ascii="宋体" w:eastAsia="宋体" w:hAnsi="宋体" w:cs="Times New Roman"/>
          <w:color w:val="000000"/>
          <w:sz w:val="24"/>
          <w:szCs w:val="24"/>
        </w:rPr>
        <w:t>操作简单易用</w:t>
      </w:r>
      <w:r w:rsidRPr="00642855">
        <w:rPr>
          <w:rFonts w:ascii="宋体" w:eastAsia="宋体" w:hAnsi="宋体" w:cs="Times New Roman" w:hint="eastAsia"/>
          <w:color w:val="000000"/>
          <w:sz w:val="24"/>
          <w:szCs w:val="24"/>
        </w:rPr>
        <w:t>、</w:t>
      </w:r>
      <w:r w:rsidRPr="00642855">
        <w:rPr>
          <w:rFonts w:ascii="宋体" w:eastAsia="宋体" w:hAnsi="宋体" w:cs="Times New Roman"/>
          <w:color w:val="000000"/>
          <w:sz w:val="24"/>
          <w:szCs w:val="24"/>
        </w:rPr>
        <w:t>至少允许10人</w:t>
      </w:r>
      <w:r w:rsidRPr="00642855">
        <w:rPr>
          <w:rFonts w:ascii="宋体" w:eastAsia="宋体" w:hAnsi="宋体" w:cs="Times New Roman" w:hint="eastAsia"/>
          <w:color w:val="000000"/>
          <w:sz w:val="24"/>
          <w:szCs w:val="24"/>
        </w:rPr>
        <w:t>以上</w:t>
      </w:r>
      <w:r w:rsidRPr="00642855">
        <w:rPr>
          <w:rFonts w:ascii="宋体" w:eastAsia="宋体" w:hAnsi="宋体" w:cs="Times New Roman"/>
          <w:color w:val="000000"/>
          <w:sz w:val="24"/>
          <w:szCs w:val="24"/>
        </w:rPr>
        <w:t>同时在线视频和通话</w:t>
      </w:r>
      <w:r w:rsidRPr="00642855">
        <w:rPr>
          <w:rFonts w:ascii="宋体" w:eastAsia="宋体" w:hAnsi="宋体" w:cs="Times New Roman" w:hint="eastAsia"/>
          <w:color w:val="000000"/>
          <w:sz w:val="24"/>
          <w:szCs w:val="24"/>
        </w:rPr>
        <w:t>、</w:t>
      </w:r>
      <w:r w:rsidRPr="00642855">
        <w:rPr>
          <w:rFonts w:ascii="宋体" w:eastAsia="宋体" w:hAnsi="宋体" w:cs="Times New Roman"/>
          <w:color w:val="000000"/>
          <w:sz w:val="24"/>
          <w:szCs w:val="24"/>
        </w:rPr>
        <w:t>视频与通话清晰</w:t>
      </w:r>
      <w:r w:rsidRPr="00642855">
        <w:rPr>
          <w:rFonts w:ascii="宋体" w:eastAsia="宋体" w:hAnsi="宋体" w:cs="Times New Roman" w:hint="eastAsia"/>
          <w:color w:val="000000"/>
          <w:sz w:val="24"/>
          <w:szCs w:val="24"/>
        </w:rPr>
        <w:t>流畅、支持</w:t>
      </w:r>
      <w:r w:rsidRPr="00642855">
        <w:rPr>
          <w:rFonts w:ascii="宋体" w:eastAsia="宋体" w:hAnsi="宋体" w:cs="Times New Roman"/>
          <w:color w:val="000000"/>
          <w:sz w:val="24"/>
          <w:szCs w:val="24"/>
        </w:rPr>
        <w:t>在线播放PPT</w:t>
      </w:r>
      <w:r w:rsidRPr="00642855">
        <w:rPr>
          <w:rFonts w:ascii="宋体" w:eastAsia="宋体" w:hAnsi="宋体" w:cs="Times New Roman" w:hint="eastAsia"/>
          <w:color w:val="000000"/>
          <w:sz w:val="24"/>
          <w:szCs w:val="24"/>
        </w:rPr>
        <w:t>、</w:t>
      </w:r>
      <w:r w:rsidRPr="00642855">
        <w:rPr>
          <w:rFonts w:ascii="宋体" w:eastAsia="宋体" w:hAnsi="宋体" w:cs="Times New Roman"/>
          <w:color w:val="000000"/>
          <w:sz w:val="24"/>
          <w:szCs w:val="24"/>
        </w:rPr>
        <w:t>可在线共享文件</w:t>
      </w:r>
      <w:r w:rsidRPr="00642855">
        <w:rPr>
          <w:rFonts w:ascii="宋体" w:eastAsia="宋体" w:hAnsi="宋体" w:cs="Times New Roman" w:hint="eastAsia"/>
          <w:color w:val="000000"/>
          <w:sz w:val="24"/>
          <w:szCs w:val="24"/>
        </w:rPr>
        <w:t>等</w:t>
      </w:r>
      <w:r w:rsidRPr="00642855">
        <w:rPr>
          <w:rFonts w:ascii="宋体" w:eastAsia="宋体" w:hAnsi="宋体" w:cs="Times New Roman"/>
          <w:color w:val="000000"/>
          <w:sz w:val="24"/>
          <w:szCs w:val="24"/>
        </w:rPr>
        <w:t>。</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2、答辩秘书至少提前</w:t>
      </w:r>
      <w:r w:rsidRPr="00642855">
        <w:rPr>
          <w:rFonts w:ascii="宋体" w:eastAsia="宋体" w:hAnsi="宋体" w:cs="Times New Roman"/>
          <w:color w:val="000000"/>
          <w:sz w:val="24"/>
          <w:szCs w:val="24"/>
        </w:rPr>
        <w:t>5</w:t>
      </w:r>
      <w:r w:rsidRPr="00642855">
        <w:rPr>
          <w:rFonts w:ascii="宋体" w:eastAsia="宋体" w:hAnsi="宋体" w:cs="Times New Roman" w:hint="eastAsia"/>
          <w:color w:val="000000"/>
          <w:sz w:val="24"/>
          <w:szCs w:val="24"/>
        </w:rPr>
        <w:t>天将学位论文答辩委员会成员审核表提交研究生院；</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3、在提交答辩申请前，答辩秘书应对使用的会议平台和录音录像方式、表决方式、电子签名方式进行预演、确认，同时要确认委员</w:t>
      </w:r>
      <w:proofErr w:type="gramStart"/>
      <w:r w:rsidRPr="00642855">
        <w:rPr>
          <w:rFonts w:ascii="宋体" w:eastAsia="宋体" w:hAnsi="宋体" w:cs="Times New Roman" w:hint="eastAsia"/>
          <w:color w:val="000000"/>
          <w:sz w:val="24"/>
          <w:szCs w:val="24"/>
        </w:rPr>
        <w:t>熟悉线</w:t>
      </w:r>
      <w:proofErr w:type="gramEnd"/>
      <w:r w:rsidRPr="00642855">
        <w:rPr>
          <w:rFonts w:ascii="宋体" w:eastAsia="宋体" w:hAnsi="宋体" w:cs="Times New Roman" w:hint="eastAsia"/>
          <w:color w:val="000000"/>
          <w:sz w:val="24"/>
          <w:szCs w:val="24"/>
        </w:rPr>
        <w:t>上答辩、表决使用的平台和流程，确保答辩过程顺畅。</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4、经研究生院审核后，学院要在学院主页对线上答辩进行公告，公告时间</w:t>
      </w:r>
      <w:r w:rsidRPr="00642855">
        <w:rPr>
          <w:rFonts w:ascii="宋体" w:eastAsia="宋体" w:hAnsi="宋体" w:cs="Times New Roman"/>
          <w:color w:val="000000"/>
          <w:sz w:val="24"/>
          <w:szCs w:val="24"/>
        </w:rPr>
        <w:t>2</w:t>
      </w:r>
      <w:r w:rsidRPr="00642855">
        <w:rPr>
          <w:rFonts w:ascii="宋体" w:eastAsia="宋体" w:hAnsi="宋体" w:cs="Times New Roman" w:hint="eastAsia"/>
          <w:color w:val="000000"/>
          <w:sz w:val="24"/>
          <w:szCs w:val="24"/>
        </w:rPr>
        <w:t>个工作日以上。</w:t>
      </w:r>
    </w:p>
    <w:p w:rsidR="00642855" w:rsidRPr="00642855" w:rsidRDefault="00642855" w:rsidP="00642855">
      <w:pPr>
        <w:spacing w:line="360" w:lineRule="auto"/>
        <w:rPr>
          <w:rFonts w:ascii="宋体" w:eastAsia="宋体" w:hAnsi="宋体" w:cs="Times New Roman"/>
          <w:b/>
          <w:color w:val="000000"/>
          <w:sz w:val="24"/>
          <w:szCs w:val="24"/>
        </w:rPr>
      </w:pPr>
      <w:r w:rsidRPr="00642855">
        <w:rPr>
          <w:rFonts w:ascii="宋体" w:eastAsia="宋体" w:hAnsi="宋体" w:cs="Times New Roman" w:hint="eastAsia"/>
          <w:b/>
          <w:color w:val="000000"/>
          <w:sz w:val="24"/>
          <w:szCs w:val="24"/>
        </w:rPr>
        <w:t>二、答辩流程</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bookmarkStart w:id="1" w:name="_Hlk32496321"/>
      <w:r w:rsidRPr="00642855">
        <w:rPr>
          <w:rFonts w:ascii="宋体" w:eastAsia="宋体" w:hAnsi="宋体" w:cs="Times New Roman" w:hint="eastAsia"/>
          <w:color w:val="000000"/>
          <w:sz w:val="24"/>
          <w:szCs w:val="24"/>
        </w:rPr>
        <w:t>5、</w:t>
      </w:r>
      <w:bookmarkEnd w:id="1"/>
      <w:r w:rsidRPr="00642855">
        <w:rPr>
          <w:rFonts w:ascii="宋体" w:eastAsia="宋体" w:hAnsi="宋体" w:cs="Times New Roman" w:hint="eastAsia"/>
          <w:color w:val="000000"/>
          <w:sz w:val="24"/>
          <w:szCs w:val="24"/>
        </w:rPr>
        <w:t>按照申请时间，答辩秘书召集答辩委员、答辩人进入线上会议平台的会议室，允许校内督导人员、相关专业师生和经过身份认证的同行旁听参会；确因特殊原因无法按期组织答辩的，及时将原因上报研究生院，并按照网络视频答辩申请流程重新申请安排。</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6、学位论文（电子版）需提前一周交答辩委员，并严格按照学校研究生学位论文答辩流程及要求组织开展论文答辩工作。</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7、答辩过程中，答辩秘书需要对答辩全程（</w:t>
      </w:r>
      <w:proofErr w:type="gramStart"/>
      <w:r w:rsidRPr="00642855">
        <w:rPr>
          <w:rFonts w:ascii="宋体" w:eastAsia="宋体" w:hAnsi="宋体" w:cs="Times New Roman" w:hint="eastAsia"/>
          <w:color w:val="000000"/>
          <w:sz w:val="24"/>
          <w:szCs w:val="24"/>
        </w:rPr>
        <w:t>含宣布</w:t>
      </w:r>
      <w:proofErr w:type="gramEnd"/>
      <w:r w:rsidRPr="00642855">
        <w:rPr>
          <w:rFonts w:ascii="宋体" w:eastAsia="宋体" w:hAnsi="宋体" w:cs="Times New Roman" w:hint="eastAsia"/>
          <w:color w:val="000000"/>
          <w:sz w:val="24"/>
          <w:szCs w:val="24"/>
        </w:rPr>
        <w:t>投票结果）录音录像，并保存完好备查，同时对关键画面截屏保留</w:t>
      </w:r>
      <w:r w:rsidRPr="00642855">
        <w:rPr>
          <w:rFonts w:ascii="宋体" w:eastAsia="宋体" w:hAnsi="宋体" w:cs="Times New Roman"/>
          <w:color w:val="000000"/>
          <w:sz w:val="24"/>
          <w:szCs w:val="24"/>
        </w:rPr>
        <w:t>2-3</w:t>
      </w:r>
      <w:r w:rsidRPr="00642855">
        <w:rPr>
          <w:rFonts w:ascii="宋体" w:eastAsia="宋体" w:hAnsi="宋体" w:cs="Times New Roman" w:hint="eastAsia"/>
          <w:color w:val="000000"/>
          <w:sz w:val="24"/>
          <w:szCs w:val="24"/>
        </w:rPr>
        <w:t>张；</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8、答辩结束后，立刻进行投票表决。答辩决议具体内容包括以下三个部分：（1）毕业答辩通过与否的评定；（2）授予学位的建议（博士、硕士）；（3）答辩成绩（优秀比例不超过30%）。</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9、答辩秘书将投票结果统计后告知答辩委员会主席，由主席宣布答辩结果和答辩成绩。需要由答辩委员签字的材料，采用电子签名形式完成。</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10、网络答辩要坚持学术标准，并保证真实、公开、完整、全程可记录。答辩秘书答辩结束前需和主席审查答辩过程是否完整、记录是否完整。</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lastRenderedPageBreak/>
        <w:t>11、如果因网络原因答辩中断无法进行，需重新安排时间完成答辩。</w:t>
      </w:r>
    </w:p>
    <w:p w:rsidR="00642855" w:rsidRPr="00642855" w:rsidRDefault="00642855" w:rsidP="00642855">
      <w:pPr>
        <w:spacing w:line="360" w:lineRule="auto"/>
        <w:ind w:firstLineChars="200" w:firstLine="480"/>
        <w:rPr>
          <w:rFonts w:ascii="宋体" w:eastAsia="宋体" w:hAnsi="宋体" w:cs="Times New Roman"/>
          <w:color w:val="000000"/>
          <w:sz w:val="24"/>
          <w:szCs w:val="24"/>
        </w:rPr>
      </w:pPr>
      <w:r w:rsidRPr="00642855">
        <w:rPr>
          <w:rFonts w:ascii="宋体" w:eastAsia="宋体" w:hAnsi="宋体" w:cs="Times New Roman" w:hint="eastAsia"/>
          <w:color w:val="000000"/>
          <w:sz w:val="24"/>
          <w:szCs w:val="24"/>
        </w:rPr>
        <w:t>12、远程视频答辩音频、视频材料由培养单位存档备查。</w:t>
      </w:r>
    </w:p>
    <w:p w:rsidR="0091513D" w:rsidRPr="00642855" w:rsidRDefault="0091513D"/>
    <w:sectPr w:rsidR="0091513D" w:rsidRPr="00642855" w:rsidSect="00D334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5"/>
    <w:rsid w:val="00642855"/>
    <w:rsid w:val="0091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Company>china</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2020-05-08T10:13:00Z</dcterms:created>
  <dcterms:modified xsi:type="dcterms:W3CDTF">2020-05-08T10:13:00Z</dcterms:modified>
</cp:coreProperties>
</file>