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30B23">
      <w:pPr>
        <w:spacing w:before="100" w:line="560" w:lineRule="exact"/>
        <w:ind w:left="62"/>
        <w:rPr>
          <w:rFonts w:hint="eastAsia" w:ascii="黑体" w:hAnsi="黑体" w:eastAsia="黑体" w:cs="黑体"/>
          <w:spacing w:val="-4"/>
          <w:sz w:val="32"/>
          <w:szCs w:val="32"/>
        </w:rPr>
      </w:pPr>
      <w:r>
        <w:rPr>
          <w:rFonts w:ascii="黑体" w:hAnsi="黑体" w:eastAsia="黑体" w:cs="黑体"/>
          <w:spacing w:val="-4"/>
          <w:sz w:val="32"/>
          <w:szCs w:val="32"/>
        </w:rPr>
        <w:t>附件</w:t>
      </w:r>
      <w:r>
        <w:rPr>
          <w:rFonts w:hint="eastAsia" w:ascii="黑体" w:hAnsi="黑体" w:eastAsia="黑体" w:cs="黑体"/>
          <w:spacing w:val="-4"/>
          <w:sz w:val="32"/>
          <w:szCs w:val="32"/>
        </w:rPr>
        <w:t>1</w:t>
      </w:r>
    </w:p>
    <w:p w14:paraId="283EF384">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第二届河南省科技工作者讲科普大赛</w:t>
      </w:r>
    </w:p>
    <w:p w14:paraId="2A66EBF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bookmarkEnd w:id="0"/>
    </w:p>
    <w:p w14:paraId="4976EFD8">
      <w:pPr>
        <w:numPr>
          <w:ilvl w:val="0"/>
          <w:numId w:val="1"/>
        </w:numPr>
        <w:snapToGrid w:val="0"/>
        <w:spacing w:after="0"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活动时间</w:t>
      </w:r>
    </w:p>
    <w:p w14:paraId="72DC0323">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2026年3—8月</w:t>
      </w:r>
    </w:p>
    <w:p w14:paraId="7D715577">
      <w:pPr>
        <w:numPr>
          <w:ilvl w:val="0"/>
          <w:numId w:val="1"/>
        </w:numPr>
        <w:snapToGrid w:val="0"/>
        <w:spacing w:after="0"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作品形式</w:t>
      </w:r>
    </w:p>
    <w:p w14:paraId="7FE8AAE4">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以个人演讲或科普展演两种形式参赛，时长不超过4分钟。</w:t>
      </w:r>
    </w:p>
    <w:p w14:paraId="1BF0E5FD">
      <w:pPr>
        <w:numPr>
          <w:ilvl w:val="0"/>
          <w:numId w:val="2"/>
        </w:numPr>
        <w:snapToGrid w:val="0"/>
        <w:spacing w:after="0" w:line="360" w:lineRule="auto"/>
        <w:jc w:val="both"/>
        <w:rPr>
          <w:rFonts w:hint="eastAsia" w:ascii="楷体" w:hAnsi="楷体" w:eastAsia="楷体" w:cs="楷体"/>
          <w:sz w:val="32"/>
          <w:szCs w:val="32"/>
        </w:rPr>
      </w:pPr>
      <w:r>
        <w:rPr>
          <w:rFonts w:hint="eastAsia" w:ascii="楷体" w:hAnsi="楷体" w:eastAsia="楷体" w:cs="楷体"/>
          <w:sz w:val="32"/>
          <w:szCs w:val="32"/>
        </w:rPr>
        <w:t>个人演讲</w:t>
      </w:r>
    </w:p>
    <w:p w14:paraId="03B3E9D0">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个人演讲限主讲1人，鼓励采用故事化、场景化、互动化的表达方式，善用案例、实验、可视化等手段，增强科普效果。</w:t>
      </w:r>
    </w:p>
    <w:p w14:paraId="281D8E4E">
      <w:pPr>
        <w:numPr>
          <w:ilvl w:val="0"/>
          <w:numId w:val="2"/>
        </w:numPr>
        <w:snapToGrid w:val="0"/>
        <w:spacing w:after="0" w:line="360" w:lineRule="auto"/>
        <w:jc w:val="both"/>
        <w:rPr>
          <w:rFonts w:hint="eastAsia" w:ascii="楷体" w:hAnsi="楷体" w:eastAsia="楷体" w:cs="楷体"/>
          <w:sz w:val="32"/>
          <w:szCs w:val="32"/>
        </w:rPr>
      </w:pPr>
      <w:r>
        <w:rPr>
          <w:rFonts w:hint="eastAsia" w:ascii="楷体" w:hAnsi="楷体" w:eastAsia="楷体" w:cs="楷体"/>
          <w:sz w:val="32"/>
          <w:szCs w:val="32"/>
        </w:rPr>
        <w:t>科普展演</w:t>
      </w:r>
    </w:p>
    <w:p w14:paraId="10E91397">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科普展演主创人员不超过5人，涵盖歌舞、小品、相声、情景剧等适合舞台表演的科普节目。</w:t>
      </w:r>
    </w:p>
    <w:p w14:paraId="58A145BF">
      <w:pPr>
        <w:numPr>
          <w:ilvl w:val="0"/>
          <w:numId w:val="1"/>
        </w:numPr>
        <w:snapToGrid w:val="0"/>
        <w:spacing w:after="0"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选题范围</w:t>
      </w:r>
    </w:p>
    <w:p w14:paraId="3DFD8B93">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参赛选手自主命题讲解，讲解内容须具备科学性和普及性，包含科学知识、科学方法、科学思想或科学精神。鼓励结合自身科研、教学或实践，锚定“四个面向”战略方向，聚焦“1+2+4+N”目标任务体系、加快建设“六个强省”，重点围绕前沿科技、新质生产力和民生热点等领域开展科普讲解。具体包括以下内容：</w:t>
      </w:r>
    </w:p>
    <w:p w14:paraId="42E0626A">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黑体" w:hAnsi="黑体" w:eastAsia="黑体" w:cs="方正楷体_GBK"/>
          <w:sz w:val="32"/>
          <w:szCs w:val="32"/>
        </w:rPr>
        <w:t>（一）国家重大战略前沿领域。</w:t>
      </w:r>
      <w:r>
        <w:rPr>
          <w:rFonts w:hint="eastAsia" w:ascii="方正仿宋_GB2312" w:hAnsi="方正仿宋_GB2312" w:eastAsia="方正仿宋_GB2312" w:cs="方正仿宋_GB2312"/>
          <w:sz w:val="32"/>
          <w:szCs w:val="32"/>
        </w:rPr>
        <w:t>人工智能、量子信息、集成电路、生命科学、脑科学、生物育种、空天科技、深地深海等前沿领域和解决“卡脖子”关键核心技术问题、“双碳”相关领域。</w:t>
      </w:r>
    </w:p>
    <w:p w14:paraId="352C5872">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黑体" w:hAnsi="黑体" w:eastAsia="黑体" w:cs="方正楷体_GBK"/>
          <w:sz w:val="32"/>
          <w:szCs w:val="32"/>
        </w:rPr>
        <w:t>（二）科技前沿领域。</w:t>
      </w:r>
      <w:r>
        <w:rPr>
          <w:rFonts w:hint="eastAsia" w:ascii="方正仿宋_GB2312" w:hAnsi="方正仿宋_GB2312" w:eastAsia="方正仿宋_GB2312" w:cs="方正仿宋_GB2312"/>
          <w:sz w:val="32"/>
          <w:szCs w:val="32"/>
        </w:rPr>
        <w:t>航空航天、超级计算、光子与微纳电子、生物育种、基因组学研究应用、合成生物技术、生物安全关键技术、深空深地深海和极地探测等。</w:t>
      </w:r>
    </w:p>
    <w:p w14:paraId="0149E263">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黑体" w:hAnsi="黑体" w:eastAsia="黑体" w:cs="方正楷体_GBK"/>
          <w:sz w:val="32"/>
          <w:szCs w:val="32"/>
        </w:rPr>
        <w:t>（三）基础研究领域。</w:t>
      </w:r>
      <w:r>
        <w:rPr>
          <w:rFonts w:hint="eastAsia" w:ascii="方正仿宋_GB2312" w:hAnsi="方正仿宋_GB2312" w:eastAsia="方正仿宋_GB2312" w:cs="方正仿宋_GB2312"/>
          <w:sz w:val="32"/>
          <w:szCs w:val="32"/>
        </w:rPr>
        <w:t>数学、物理、化学、生物、天文、地理等。</w:t>
      </w:r>
    </w:p>
    <w:p w14:paraId="0A7EA2B2">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黑体" w:hAnsi="黑体" w:eastAsia="黑体" w:cs="方正楷体_GBK"/>
          <w:sz w:val="32"/>
          <w:szCs w:val="32"/>
        </w:rPr>
        <w:t>（四）经济社会发展领域。</w:t>
      </w:r>
      <w:r>
        <w:rPr>
          <w:rFonts w:hint="eastAsia" w:ascii="方正仿宋_GB2312" w:hAnsi="方正仿宋_GB2312" w:eastAsia="方正仿宋_GB2312" w:cs="方正仿宋_GB2312"/>
          <w:sz w:val="32"/>
          <w:szCs w:val="32"/>
        </w:rPr>
        <w:t>钢铁、煤炭、有色等传统产业提质升级领域；现代装备、新材料、新一代信息技术、新能源与智能网联汽车等新兴产业领域；先进农机装备制造、农产品加工等现代农业领域。</w:t>
      </w:r>
    </w:p>
    <w:p w14:paraId="37343905">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黑体" w:hAnsi="黑体" w:eastAsia="黑体" w:cs="方正楷体_GBK"/>
          <w:sz w:val="32"/>
          <w:szCs w:val="32"/>
        </w:rPr>
        <w:t>（五）人民生命健康领域。</w:t>
      </w:r>
      <w:r>
        <w:rPr>
          <w:rFonts w:hint="eastAsia" w:ascii="方正仿宋_GB2312" w:hAnsi="方正仿宋_GB2312" w:eastAsia="方正仿宋_GB2312" w:cs="方正仿宋_GB2312"/>
          <w:sz w:val="32"/>
          <w:szCs w:val="32"/>
        </w:rPr>
        <w:t>解剖学、生理学、流行病学、医学伦理学、传染病防治、临床医学与健康等医学领域；生物医药、创新药物、先进诊疗技术等医学创新领域。</w:t>
      </w:r>
    </w:p>
    <w:p w14:paraId="697C3630">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黑体" w:hAnsi="黑体" w:eastAsia="黑体" w:cs="方正楷体_GBK"/>
          <w:sz w:val="32"/>
          <w:szCs w:val="32"/>
        </w:rPr>
        <w:t>（六）科技热点和社会焦点。</w:t>
      </w:r>
      <w:r>
        <w:rPr>
          <w:rFonts w:hint="eastAsia" w:ascii="方正仿宋_GB2312" w:hAnsi="方正仿宋_GB2312" w:eastAsia="方正仿宋_GB2312" w:cs="方正仿宋_GB2312"/>
          <w:sz w:val="32"/>
          <w:szCs w:val="32"/>
        </w:rPr>
        <w:t>全民健康、疾病防治、食品安全、防灾减灾、生态环保、能源利用、气候变化等与河南省发展和群众生活密切相关的科技热点和社会焦点问题。</w:t>
      </w:r>
    </w:p>
    <w:p w14:paraId="5D37CEF7">
      <w:pPr>
        <w:numPr>
          <w:ilvl w:val="0"/>
          <w:numId w:val="1"/>
        </w:numPr>
        <w:snapToGrid w:val="0"/>
        <w:spacing w:after="0"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赛事流程</w:t>
      </w:r>
    </w:p>
    <w:p w14:paraId="410BB96A">
      <w:pPr>
        <w:numPr>
          <w:ilvl w:val="0"/>
          <w:numId w:val="3"/>
        </w:numPr>
        <w:snapToGrid w:val="0"/>
        <w:spacing w:after="0" w:line="360" w:lineRule="auto"/>
        <w:jc w:val="both"/>
        <w:rPr>
          <w:rFonts w:hint="eastAsia" w:ascii="楷体" w:hAnsi="楷体" w:eastAsia="楷体" w:cs="楷体"/>
          <w:sz w:val="32"/>
          <w:szCs w:val="32"/>
        </w:rPr>
      </w:pPr>
      <w:r>
        <w:rPr>
          <w:rFonts w:hint="eastAsia" w:ascii="楷体" w:hAnsi="楷体" w:eastAsia="楷体" w:cs="楷体"/>
          <w:sz w:val="32"/>
          <w:szCs w:val="32"/>
        </w:rPr>
        <w:t>初赛：2026年3—5月</w:t>
      </w:r>
    </w:p>
    <w:p w14:paraId="79D4EF9F">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3月31日前，各地、各单位明确联络人，发送联络人信息表（见附件3）至大赛组委会邮箱。</w:t>
      </w:r>
    </w:p>
    <w:p w14:paraId="78F997FA">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月15日前，各地、各单位结合实际组织开展相关选拔活动，各省辖市、济源示范区负责本辖区赛事组织，鼓励各全省学会、协会、研究会，各高校科协、企业科协、医疗卫生机构科协、科研院所科协举办本单位本领域赛事，择优推荐充分展现科技工作者科普讲解水平的优秀选手。</w:t>
      </w:r>
    </w:p>
    <w:p w14:paraId="1A483D58">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5月22日前，各地、各单位须将所需材料上传至大赛线上报名平台，并将初赛总结（包含图片、文字、视频等）报送至大赛组委会邮箱。</w:t>
      </w:r>
    </w:p>
    <w:p w14:paraId="6066259E">
      <w:pPr>
        <w:numPr>
          <w:ilvl w:val="0"/>
          <w:numId w:val="3"/>
        </w:numPr>
        <w:snapToGrid w:val="0"/>
        <w:spacing w:after="0" w:line="360" w:lineRule="auto"/>
        <w:jc w:val="both"/>
        <w:rPr>
          <w:rFonts w:hint="eastAsia" w:ascii="楷体" w:hAnsi="楷体" w:eastAsia="楷体" w:cs="楷体"/>
          <w:sz w:val="32"/>
          <w:szCs w:val="32"/>
        </w:rPr>
      </w:pPr>
      <w:r>
        <w:rPr>
          <w:rFonts w:hint="eastAsia" w:ascii="楷体" w:hAnsi="楷体" w:eastAsia="楷体" w:cs="楷体"/>
          <w:sz w:val="32"/>
          <w:szCs w:val="32"/>
        </w:rPr>
        <w:t>复赛：2026年6月</w:t>
      </w:r>
    </w:p>
    <w:p w14:paraId="49BE17A2">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复赛成绩由网络传播分数和专家评审分数两部分构成，满分100分。组委会将根据成绩排名，择优评选出若干选手晋级总决赛。</w:t>
      </w:r>
    </w:p>
    <w:p w14:paraId="1C9D77A6">
      <w:pPr>
        <w:numPr>
          <w:ilvl w:val="0"/>
          <w:numId w:val="4"/>
        </w:numPr>
        <w:snapToGrid w:val="0"/>
        <w:spacing w:after="0" w:line="360" w:lineRule="auto"/>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网络展播</w:t>
      </w:r>
    </w:p>
    <w:p w14:paraId="6003CDF4">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6月，大赛在顶端新闻APP设置“河南省科技工作者讲科普大赛”专区，展播各地、各单位推荐选手讲科普视频，综合视频阅读量、点赞量、转发量核算网络传播分数，满分30分。计算公式如下：</w:t>
      </w:r>
    </w:p>
    <w:p w14:paraId="0D0101C1">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视频数据基础分=阅读量+点赞量+转发量</w:t>
      </w:r>
    </w:p>
    <w:p w14:paraId="7AAD031B">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视频网络传播分数=作品数据基础分/最高作品数据基础分×100×30%</w:t>
      </w:r>
    </w:p>
    <w:p w14:paraId="5A5D1346">
      <w:pPr>
        <w:numPr>
          <w:ilvl w:val="0"/>
          <w:numId w:val="4"/>
        </w:numPr>
        <w:snapToGrid w:val="0"/>
        <w:spacing w:after="0" w:line="360" w:lineRule="auto"/>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专家评审</w:t>
      </w:r>
    </w:p>
    <w:p w14:paraId="3FB956FF">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7月，大赛组委会组织专家从选题、内容、创作、效果等方面对上报选手讲科普视频进行逐一审核、打分，满分70分。</w:t>
      </w:r>
    </w:p>
    <w:p w14:paraId="444B4410">
      <w:pPr>
        <w:numPr>
          <w:ilvl w:val="0"/>
          <w:numId w:val="3"/>
        </w:numPr>
        <w:snapToGrid w:val="0"/>
        <w:spacing w:after="0" w:line="360" w:lineRule="auto"/>
        <w:jc w:val="both"/>
        <w:rPr>
          <w:rFonts w:hint="eastAsia" w:ascii="楷体" w:hAnsi="楷体" w:eastAsia="楷体" w:cs="楷体"/>
          <w:sz w:val="32"/>
          <w:szCs w:val="32"/>
        </w:rPr>
      </w:pPr>
      <w:r>
        <w:rPr>
          <w:rFonts w:hint="eastAsia" w:ascii="楷体" w:hAnsi="楷体" w:eastAsia="楷体" w:cs="楷体"/>
          <w:sz w:val="32"/>
          <w:szCs w:val="32"/>
        </w:rPr>
        <w:t>总决赛：2026年8月</w:t>
      </w:r>
    </w:p>
    <w:p w14:paraId="167EE1F9">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8月，举行总决赛，以现场比赛形式依次展演。</w:t>
      </w:r>
    </w:p>
    <w:p w14:paraId="1CAFBDDD">
      <w:pPr>
        <w:numPr>
          <w:ilvl w:val="0"/>
          <w:numId w:val="3"/>
        </w:numPr>
        <w:snapToGrid w:val="0"/>
        <w:spacing w:after="0" w:line="360" w:lineRule="auto"/>
        <w:jc w:val="both"/>
        <w:rPr>
          <w:rFonts w:hint="eastAsia" w:ascii="楷体" w:hAnsi="楷体" w:eastAsia="楷体" w:cs="楷体"/>
          <w:sz w:val="32"/>
          <w:szCs w:val="32"/>
        </w:rPr>
      </w:pPr>
      <w:r>
        <w:rPr>
          <w:rFonts w:hint="eastAsia" w:ascii="楷体" w:hAnsi="楷体" w:eastAsia="楷体" w:cs="楷体"/>
          <w:sz w:val="32"/>
          <w:szCs w:val="32"/>
        </w:rPr>
        <w:t>结果公布：2026年8月</w:t>
      </w:r>
    </w:p>
    <w:p w14:paraId="1D1387CD">
      <w:pPr>
        <w:snapToGrid w:val="0"/>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最终获奖结果面向社会公布。</w:t>
      </w:r>
    </w:p>
    <w:p w14:paraId="114D8603">
      <w:pPr>
        <w:numPr>
          <w:ilvl w:val="0"/>
          <w:numId w:val="1"/>
        </w:numPr>
        <w:snapToGrid w:val="0"/>
        <w:spacing w:after="0"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奖项设置</w:t>
      </w:r>
    </w:p>
    <w:p w14:paraId="661ADFF4">
      <w:pPr>
        <w:numPr>
          <w:ilvl w:val="0"/>
          <w:numId w:val="5"/>
        </w:numPr>
        <w:snapToGrid w:val="0"/>
        <w:spacing w:after="0"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设一等奖、二等奖、三等奖、优秀奖若干。</w:t>
      </w:r>
    </w:p>
    <w:p w14:paraId="300E7CB1">
      <w:pPr>
        <w:numPr>
          <w:ilvl w:val="0"/>
          <w:numId w:val="5"/>
        </w:numPr>
        <w:snapToGrid w:val="0"/>
        <w:spacing w:after="0"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设置最具创意讲科普内容、最受网友喜爱选手等专项奖若干。</w:t>
      </w:r>
    </w:p>
    <w:p w14:paraId="36D25F1A">
      <w:pPr>
        <w:numPr>
          <w:ilvl w:val="0"/>
          <w:numId w:val="1"/>
        </w:numPr>
        <w:snapToGrid w:val="0"/>
        <w:spacing w:after="0"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有关事项</w:t>
      </w:r>
    </w:p>
    <w:p w14:paraId="3F974941">
      <w:pPr>
        <w:numPr>
          <w:ilvl w:val="0"/>
          <w:numId w:val="6"/>
        </w:numPr>
        <w:snapToGrid w:val="0"/>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优秀科技工作者讲科普视频将通过多种渠道进行广泛宣传，惠及更多公众；</w:t>
      </w:r>
      <w:r>
        <w:rPr>
          <w:rFonts w:hint="eastAsia" w:ascii="仿宋" w:hAnsi="仿宋" w:eastAsia="仿宋" w:cs="仿宋"/>
          <w:b/>
          <w:bCs/>
          <w:sz w:val="32"/>
          <w:szCs w:val="32"/>
        </w:rPr>
        <w:t>总决赛获奖选手择优入选河南省科普专家</w:t>
      </w:r>
      <w:r>
        <w:rPr>
          <w:rFonts w:hint="eastAsia" w:ascii="仿宋" w:hAnsi="仿宋" w:eastAsia="仿宋" w:cs="仿宋"/>
          <w:b/>
          <w:bCs/>
          <w:color w:val="000000" w:themeColor="text1"/>
          <w:sz w:val="32"/>
          <w:szCs w:val="32"/>
          <w14:textFill>
            <w14:solidFill>
              <w14:schemeClr w14:val="tx1"/>
            </w14:solidFill>
          </w14:textFill>
        </w:rPr>
        <w:t>服务团</w:t>
      </w:r>
      <w:r>
        <w:rPr>
          <w:rFonts w:hint="eastAsia" w:ascii="仿宋" w:hAnsi="仿宋" w:eastAsia="仿宋" w:cs="仿宋"/>
          <w:sz w:val="32"/>
          <w:szCs w:val="32"/>
        </w:rPr>
        <w:t>。</w:t>
      </w:r>
    </w:p>
    <w:p w14:paraId="29E2102A">
      <w:pPr>
        <w:numPr>
          <w:ilvl w:val="0"/>
          <w:numId w:val="6"/>
        </w:numPr>
        <w:snapToGrid w:val="0"/>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本次大赛不收取任何参赛费用，所有报送选手视频一律不予退还，均视为获得报送和制作单位或个人的同意，主办单位享有使用权，有权用于相关科普活动宣传展示，且不向作者支付相关费用。</w:t>
      </w:r>
    </w:p>
    <w:p w14:paraId="6092F505">
      <w:pPr>
        <w:numPr>
          <w:ilvl w:val="0"/>
          <w:numId w:val="6"/>
        </w:numPr>
        <w:snapToGrid w:val="0"/>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参赛选手视频要求原创，不得侵犯第三人的著作权、肖像权、名誉权、隐私权等在内的任何权利。如提供的内容违反我国现行法律法规或者侵犯第三方合法权益而导致任何争议、索赔、诉讼等后果，由作者或演讲者承担法律责任，活动主办方和承办方不承担任何法律责任。</w:t>
      </w:r>
    </w:p>
    <w:p w14:paraId="00CEB1E3">
      <w:pPr>
        <w:numPr>
          <w:ilvl w:val="0"/>
          <w:numId w:val="6"/>
        </w:numPr>
        <w:snapToGrid w:val="0"/>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为保证大赛公平、公开、公正，严禁利用非法软件或其他各类方式网络刷票，一经发现，取消比赛资格。</w:t>
      </w:r>
    </w:p>
    <w:p w14:paraId="77174D19">
      <w:pPr>
        <w:snapToGrid w:val="0"/>
        <w:spacing w:after="0" w:line="360" w:lineRule="auto"/>
        <w:ind w:firstLine="640" w:firstLineChars="200"/>
        <w:rPr>
          <w:rFonts w:hint="eastAsia"/>
        </w:rPr>
      </w:pPr>
      <w:r>
        <w:rPr>
          <w:rFonts w:hint="eastAsia" w:ascii="仿宋" w:hAnsi="仿宋" w:eastAsia="仿宋" w:cs="仿宋"/>
          <w:sz w:val="32"/>
          <w:szCs w:val="32"/>
        </w:rPr>
        <w:t>主办单位拥有本次大赛活动的最终解释权。凡报送选手讲科普视频的单位及作者均被视为同意并遵守以上各项规定。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3D5FC6-ABC1-42DC-BDE8-EFCE18F41A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6ACEA31-CD99-4D14-9CDC-17559F8C1781}"/>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9067BD9D-838D-425A-99BD-4F1654000F3C}"/>
  </w:font>
  <w:font w:name="楷体">
    <w:panose1 w:val="02010609060101010101"/>
    <w:charset w:val="86"/>
    <w:family w:val="modern"/>
    <w:pitch w:val="default"/>
    <w:sig w:usb0="800002BF" w:usb1="38CF7CFA" w:usb2="00000016" w:usb3="00000000" w:csb0="00040001" w:csb1="00000000"/>
    <w:embedRegular r:id="rId4" w:fontKey="{35189252-1A39-4622-A952-919A87E5D33C}"/>
  </w:font>
  <w:font w:name="方正楷体_GBK">
    <w:altName w:val="微软雅黑"/>
    <w:panose1 w:val="00000000000000000000"/>
    <w:charset w:val="86"/>
    <w:family w:val="auto"/>
    <w:pitch w:val="default"/>
    <w:sig w:usb0="00000000" w:usb1="00000000" w:usb2="00000000" w:usb3="00000000" w:csb0="00040000" w:csb1="00000000"/>
    <w:embedRegular r:id="rId5" w:fontKey="{D5644D9F-860A-4215-8F31-EA37217AD77A}"/>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5CB81F91-C69A-41C2-A92D-AB16AE65D53C}"/>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E111"/>
    <w:multiLevelType w:val="singleLevel"/>
    <w:tmpl w:val="8075E111"/>
    <w:lvl w:ilvl="0" w:tentative="0">
      <w:start w:val="1"/>
      <w:numFmt w:val="chineseCounting"/>
      <w:suff w:val="nothing"/>
      <w:lvlText w:val="（%1）"/>
      <w:lvlJc w:val="left"/>
      <w:pPr>
        <w:ind w:left="0" w:firstLine="420"/>
      </w:pPr>
      <w:rPr>
        <w:rFonts w:hint="eastAsia"/>
      </w:rPr>
    </w:lvl>
  </w:abstractNum>
  <w:abstractNum w:abstractNumId="1">
    <w:nsid w:val="88A2777D"/>
    <w:multiLevelType w:val="singleLevel"/>
    <w:tmpl w:val="88A2777D"/>
    <w:lvl w:ilvl="0" w:tentative="0">
      <w:start w:val="1"/>
      <w:numFmt w:val="chineseCounting"/>
      <w:suff w:val="nothing"/>
      <w:lvlText w:val="%1、"/>
      <w:lvlJc w:val="left"/>
      <w:pPr>
        <w:ind w:left="0" w:firstLine="420"/>
      </w:pPr>
      <w:rPr>
        <w:rFonts w:hint="eastAsia"/>
      </w:rPr>
    </w:lvl>
  </w:abstractNum>
  <w:abstractNum w:abstractNumId="2">
    <w:nsid w:val="89525D88"/>
    <w:multiLevelType w:val="singleLevel"/>
    <w:tmpl w:val="89525D88"/>
    <w:lvl w:ilvl="0" w:tentative="0">
      <w:start w:val="1"/>
      <w:numFmt w:val="decimal"/>
      <w:suff w:val="nothing"/>
      <w:lvlText w:val="%1．"/>
      <w:lvlJc w:val="left"/>
      <w:pPr>
        <w:ind w:left="0" w:firstLine="400"/>
      </w:pPr>
      <w:rPr>
        <w:rFonts w:hint="default"/>
      </w:rPr>
    </w:lvl>
  </w:abstractNum>
  <w:abstractNum w:abstractNumId="3">
    <w:nsid w:val="BA7E5A11"/>
    <w:multiLevelType w:val="singleLevel"/>
    <w:tmpl w:val="BA7E5A11"/>
    <w:lvl w:ilvl="0" w:tentative="0">
      <w:start w:val="1"/>
      <w:numFmt w:val="chineseCounting"/>
      <w:suff w:val="nothing"/>
      <w:lvlText w:val="（%1）"/>
      <w:lvlJc w:val="left"/>
      <w:rPr>
        <w:rFonts w:hint="eastAsia"/>
      </w:rPr>
    </w:lvl>
  </w:abstractNum>
  <w:abstractNum w:abstractNumId="4">
    <w:nsid w:val="DFE6E99D"/>
    <w:multiLevelType w:val="singleLevel"/>
    <w:tmpl w:val="DFE6E99D"/>
    <w:lvl w:ilvl="0" w:tentative="0">
      <w:start w:val="1"/>
      <w:numFmt w:val="chineseCounting"/>
      <w:suff w:val="nothing"/>
      <w:lvlText w:val="（%1）"/>
      <w:lvlJc w:val="left"/>
      <w:pPr>
        <w:ind w:left="0" w:firstLine="420"/>
      </w:pPr>
      <w:rPr>
        <w:rFonts w:hint="eastAsia"/>
      </w:rPr>
    </w:lvl>
  </w:abstractNum>
  <w:abstractNum w:abstractNumId="5">
    <w:nsid w:val="3D947A77"/>
    <w:multiLevelType w:val="singleLevel"/>
    <w:tmpl w:val="3D947A77"/>
    <w:lvl w:ilvl="0" w:tentative="0">
      <w:start w:val="1"/>
      <w:numFmt w:val="chineseCounting"/>
      <w:suff w:val="nothing"/>
      <w:lvlText w:val="（%1）"/>
      <w:lvlJc w:val="left"/>
      <w:pPr>
        <w:ind w:left="0" w:firstLine="420"/>
      </w:pPr>
      <w:rPr>
        <w:rFonts w:hint="eastAsia"/>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E8"/>
    <w:rsid w:val="000510D2"/>
    <w:rsid w:val="002B04D9"/>
    <w:rsid w:val="002C3FD4"/>
    <w:rsid w:val="00321151"/>
    <w:rsid w:val="00352C04"/>
    <w:rsid w:val="003C4BC0"/>
    <w:rsid w:val="00482A3F"/>
    <w:rsid w:val="005755B1"/>
    <w:rsid w:val="006009E8"/>
    <w:rsid w:val="00965847"/>
    <w:rsid w:val="00F3600D"/>
    <w:rsid w:val="00FB4641"/>
    <w:rsid w:val="00FE4279"/>
    <w:rsid w:val="77CD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6"/>
    <w:semiHidden/>
    <w:unhideWhenUsed/>
    <w:uiPriority w:val="99"/>
    <w:pPr>
      <w:ind w:left="100" w:leftChars="2500"/>
    </w:pPr>
  </w:style>
  <w:style w:type="paragraph" w:styleId="12">
    <w:name w:val="footer"/>
    <w:basedOn w:val="1"/>
    <w:link w:val="40"/>
    <w:unhideWhenUsed/>
    <w:uiPriority w:val="99"/>
    <w:pPr>
      <w:tabs>
        <w:tab w:val="center" w:pos="4153"/>
        <w:tab w:val="right" w:pos="8306"/>
      </w:tabs>
      <w:snapToGrid w:val="0"/>
      <w:spacing w:line="240" w:lineRule="auto"/>
    </w:pPr>
    <w:rPr>
      <w:sz w:val="18"/>
      <w:szCs w:val="18"/>
    </w:rPr>
  </w:style>
  <w:style w:type="paragraph" w:styleId="13">
    <w:name w:val="header"/>
    <w:basedOn w:val="1"/>
    <w:link w:val="39"/>
    <w:unhideWhenUsed/>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日期 字符"/>
    <w:basedOn w:val="17"/>
    <w:link w:val="11"/>
    <w:semiHidden/>
    <w:uiPriority w:val="99"/>
  </w:style>
  <w:style w:type="paragraph" w:customStyle="1" w:styleId="37">
    <w:name w:val="Body text|1"/>
    <w:basedOn w:val="1"/>
    <w:qFormat/>
    <w:uiPriority w:val="0"/>
    <w:pPr>
      <w:spacing w:after="0" w:line="425" w:lineRule="auto"/>
      <w:ind w:firstLine="400"/>
      <w:jc w:val="both"/>
    </w:pPr>
    <w:rPr>
      <w:rFonts w:ascii="宋体" w:hAnsi="宋体"/>
      <w:sz w:val="28"/>
      <w:szCs w:val="28"/>
      <w:lang w:val="zh-TW" w:eastAsia="zh-TW" w:bidi="zh-TW"/>
      <w14:ligatures w14:val="none"/>
    </w:rPr>
  </w:style>
  <w:style w:type="paragraph" w:customStyle="1" w:styleId="38">
    <w:name w:val="Other|1"/>
    <w:basedOn w:val="1"/>
    <w:qFormat/>
    <w:uiPriority w:val="0"/>
    <w:pPr>
      <w:spacing w:after="0" w:line="425" w:lineRule="auto"/>
      <w:ind w:firstLine="400"/>
      <w:jc w:val="both"/>
    </w:pPr>
    <w:rPr>
      <w:rFonts w:ascii="宋体" w:hAnsi="宋体"/>
      <w:sz w:val="28"/>
      <w:szCs w:val="28"/>
      <w:lang w:val="zh-TW" w:eastAsia="zh-TW" w:bidi="zh-TW"/>
      <w14:ligatures w14:val="none"/>
    </w:rPr>
  </w:style>
  <w:style w:type="character" w:customStyle="1" w:styleId="39">
    <w:name w:val="页眉 字符"/>
    <w:basedOn w:val="17"/>
    <w:link w:val="13"/>
    <w:uiPriority w:val="99"/>
    <w:rPr>
      <w:sz w:val="18"/>
      <w:szCs w:val="18"/>
    </w:rPr>
  </w:style>
  <w:style w:type="character" w:customStyle="1" w:styleId="40">
    <w:name w:val="页脚 字符"/>
    <w:basedOn w:val="17"/>
    <w:link w:val="1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3282</Words>
  <Characters>3396</Characters>
  <Lines>144</Lines>
  <Paragraphs>131</Paragraphs>
  <TotalTime>405</TotalTime>
  <ScaleCrop>false</ScaleCrop>
  <LinksUpToDate>false</LinksUpToDate>
  <CharactersWithSpaces>3505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2026-04-09T03:13:00Z</dcterms:created>
  <dc:creator>wangyan@htu.edu.cn</dc:creator>
  <cp:lastModifiedBy>苗国义</cp:lastModifiedBy>
  <dcterms:modified xsi:type="dcterms:W3CDTF">2026-04-13T03:47:00Z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eyJoZGlkIjoiZDI0NTIxMWMxYzRjODg3NDk3YWQxNzU5Mzc5MzY3MWQiLCJ1c2VySWQiOiI3NTEwODY3OTQifQ==</vt:lpwstr>
  </property>
  <property fmtid="{D5CDD505-2E9C-101B-9397-08002B2CF9AE}" pid="3" name="KSOProductBuildVer">
    <vt:lpwstr>2052-12.1.0.25225</vt:lpwstr>
  </property>
  <property fmtid="{D5CDD505-2E9C-101B-9397-08002B2CF9AE}" pid="4" name="ICV">
    <vt:lpwstr>B8E035733473457D919CE0E622D6AB23_12</vt:lpwstr>
  </property>
</Properties>
</file>