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72" w:beforeAutospacing="0" w:after="86" w:afterAutospacing="0" w:line="257" w:lineRule="atLeast"/>
        <w:ind w:left="0" w:right="0"/>
        <w:jc w:val="center"/>
        <w:textAlignment w:val="baseline"/>
        <w:rPr>
          <w:b/>
          <w:bCs/>
          <w:sz w:val="20"/>
          <w:szCs w:val="20"/>
        </w:rPr>
      </w:pPr>
      <w:r>
        <w:rPr>
          <w:b/>
          <w:bCs/>
          <w:i w:val="0"/>
          <w:iCs w:val="0"/>
          <w:caps w:val="0"/>
          <w:color w:val="333333"/>
          <w:spacing w:val="0"/>
          <w:sz w:val="20"/>
          <w:szCs w:val="20"/>
          <w:bdr w:val="none" w:color="auto" w:sz="0" w:space="0"/>
          <w:vertAlign w:val="baseline"/>
        </w:rPr>
        <w:t>关于对河南省机关事业单位工勤技能岗位等级培训考核收费标准的公告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ind w:left="0" w:right="0"/>
        <w:jc w:val="center"/>
        <w:textAlignment w:val="baseline"/>
        <w:rPr>
          <w:color w:val="999999"/>
        </w:rPr>
      </w:pP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317" w:lineRule="atLeast"/>
        <w:ind w:left="0" w:right="0" w:firstLine="369"/>
        <w:jc w:val="left"/>
        <w:textAlignment w:val="baseline"/>
      </w:pPr>
      <w:r>
        <w:rPr>
          <w:rFonts w:ascii="仿宋" w:hAnsi="仿宋" w:eastAsia="仿宋" w:cs="仿宋"/>
          <w:i w:val="0"/>
          <w:iCs w:val="0"/>
          <w:caps w:val="0"/>
          <w:color w:val="333333"/>
          <w:spacing w:val="0"/>
          <w:sz w:val="18"/>
          <w:szCs w:val="18"/>
          <w:bdr w:val="none" w:color="auto" w:sz="0" w:space="0"/>
          <w:vertAlign w:val="baseline"/>
        </w:rPr>
        <w:t>根据原河南省发展计划委员会、省财政厅联合下发的《关于调整全省机关事业单位工人技术等级考核报名考务费的通知》（豫计收费</w:t>
      </w:r>
      <w:r>
        <w:rPr>
          <w:rFonts w:hint="eastAsia" w:ascii="仿宋" w:hAnsi="仿宋" w:eastAsia="仿宋" w:cs="仿宋"/>
          <w:i w:val="0"/>
          <w:iCs w:val="0"/>
          <w:caps w:val="0"/>
          <w:color w:val="333333"/>
          <w:spacing w:val="0"/>
          <w:sz w:val="18"/>
          <w:szCs w:val="18"/>
          <w:bdr w:val="none" w:color="auto" w:sz="0" w:space="0"/>
          <w:vertAlign w:val="baseline"/>
        </w:rPr>
        <w:t>〔2001〕1612号）、《关于印发&lt;河南省党政机关短期培训收费管理办法&gt;的通知》（豫计收费〔2003〕2303号）；河南省发展和改革委员会、省财政厅联合下发的《关于机关事业单位技术工人考核评审和＜技师资格证书＞收费问题的函》（豫发改收费函〔2004〕500号），报考河南省机关事业单位工勤技能岗位等级培训考核收费标准如下表：</w:t>
      </w:r>
    </w:p>
    <w:tbl>
      <w:tblPr>
        <w:tblW w:w="8336" w:type="dxa"/>
        <w:tblInd w:w="0" w:type="dxa"/>
        <w:tblBorders>
          <w:top w:val="single" w:color="DFDFDF" w:sz="4" w:space="0"/>
          <w:left w:val="single" w:color="DFDFDF" w:sz="4" w:space="0"/>
          <w:bottom w:val="single" w:color="DFDFDF" w:sz="4" w:space="0"/>
          <w:right w:val="single" w:color="DFDFDF" w:sz="4" w:space="0"/>
          <w:insideH w:val="none" w:color="auto" w:sz="0" w:space="0"/>
          <w:insideV w:val="none" w:color="auto" w:sz="0" w:space="0"/>
        </w:tblBorders>
        <w:shd w:val="clear"/>
        <w:tblLayout w:type="autofit"/>
        <w:tblCellMar>
          <w:top w:w="0" w:type="dxa"/>
          <w:left w:w="0" w:type="dxa"/>
          <w:bottom w:w="0" w:type="dxa"/>
          <w:right w:w="0" w:type="dxa"/>
        </w:tblCellMar>
      </w:tblPr>
      <w:tblGrid>
        <w:gridCol w:w="1183"/>
        <w:gridCol w:w="4158"/>
        <w:gridCol w:w="2995"/>
      </w:tblGrid>
      <w:tr>
        <w:tblPrEx>
          <w:tblBorders>
            <w:top w:val="single" w:color="DFDFDF" w:sz="4" w:space="0"/>
            <w:left w:val="single" w:color="DFDFDF" w:sz="4" w:space="0"/>
            <w:bottom w:val="single" w:color="DFDFDF" w:sz="4" w:space="0"/>
            <w:right w:val="single" w:color="DFDFDF" w:sz="4" w:space="0"/>
            <w:insideH w:val="none" w:color="auto" w:sz="0" w:space="0"/>
            <w:insideV w:val="none" w:color="auto" w:sz="0" w:space="0"/>
          </w:tblBorders>
          <w:shd w:val="clear"/>
          <w:tblCellMar>
            <w:top w:w="0" w:type="dxa"/>
            <w:left w:w="0" w:type="dxa"/>
            <w:bottom w:w="0" w:type="dxa"/>
            <w:right w:w="0" w:type="dxa"/>
          </w:tblCellMar>
        </w:tblPrEx>
        <w:tc>
          <w:tcPr>
            <w:tcW w:w="1183" w:type="dxa"/>
            <w:tcBorders>
              <w:top w:val="single" w:color="000000" w:sz="4" w:space="0"/>
              <w:left w:val="single" w:color="auto" w:sz="4" w:space="0"/>
              <w:bottom w:val="single" w:color="000000" w:sz="4" w:space="0"/>
              <w:right w:val="single" w:color="auto"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40" w:lineRule="atLeast"/>
              <w:ind w:left="0" w:right="0" w:firstLine="257"/>
              <w:jc w:val="center"/>
              <w:textAlignment w:val="baseline"/>
            </w:pPr>
            <w:r>
              <w:rPr>
                <w:rFonts w:hint="eastAsia" w:ascii="仿宋" w:hAnsi="仿宋" w:eastAsia="仿宋" w:cs="仿宋"/>
                <w:sz w:val="16"/>
                <w:szCs w:val="16"/>
                <w:bdr w:val="none" w:color="auto" w:sz="0" w:space="0"/>
                <w:vertAlign w:val="baseline"/>
              </w:rPr>
              <w:t>序号</w:t>
            </w:r>
          </w:p>
        </w:tc>
        <w:tc>
          <w:tcPr>
            <w:tcW w:w="4158" w:type="dxa"/>
            <w:tcBorders>
              <w:top w:val="single" w:color="000000" w:sz="4" w:space="0"/>
              <w:left w:val="nil"/>
              <w:bottom w:val="single" w:color="000000" w:sz="4" w:space="0"/>
              <w:right w:val="single" w:color="000000"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40" w:lineRule="atLeast"/>
              <w:ind w:left="0" w:right="0" w:firstLine="257"/>
              <w:jc w:val="center"/>
              <w:textAlignment w:val="baseline"/>
            </w:pPr>
            <w:r>
              <w:rPr>
                <w:rFonts w:hint="eastAsia" w:ascii="仿宋" w:hAnsi="仿宋" w:eastAsia="仿宋" w:cs="仿宋"/>
                <w:sz w:val="16"/>
                <w:szCs w:val="16"/>
                <w:bdr w:val="none" w:color="auto" w:sz="0" w:space="0"/>
                <w:vertAlign w:val="baseline"/>
              </w:rPr>
              <w:t>级别</w:t>
            </w:r>
          </w:p>
        </w:tc>
        <w:tc>
          <w:tcPr>
            <w:tcW w:w="2995" w:type="dxa"/>
            <w:tcBorders>
              <w:top w:val="single" w:color="000000" w:sz="4" w:space="0"/>
              <w:left w:val="nil"/>
              <w:bottom w:val="single" w:color="000000" w:sz="4" w:space="0"/>
              <w:right w:val="single" w:color="000000"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40" w:lineRule="atLeast"/>
              <w:ind w:left="0" w:right="0" w:firstLine="257"/>
              <w:jc w:val="center"/>
              <w:textAlignment w:val="baseline"/>
            </w:pPr>
            <w:r>
              <w:rPr>
                <w:rFonts w:hint="eastAsia" w:ascii="仿宋" w:hAnsi="仿宋" w:eastAsia="仿宋" w:cs="仿宋"/>
                <w:sz w:val="16"/>
                <w:szCs w:val="16"/>
                <w:bdr w:val="none" w:color="auto" w:sz="0" w:space="0"/>
                <w:vertAlign w:val="baseline"/>
              </w:rPr>
              <w:t>收费标准</w:t>
            </w:r>
          </w:p>
        </w:tc>
      </w:tr>
      <w:tr>
        <w:tblPrEx>
          <w:tblBorders>
            <w:top w:val="single" w:color="DFDFDF" w:sz="4" w:space="0"/>
            <w:left w:val="single" w:color="DFDFDF" w:sz="4" w:space="0"/>
            <w:bottom w:val="single" w:color="DFDFDF" w:sz="4" w:space="0"/>
            <w:right w:val="single" w:color="DFDFDF" w:sz="4" w:space="0"/>
            <w:insideH w:val="none" w:color="auto" w:sz="0" w:space="0"/>
            <w:insideV w:val="none" w:color="auto" w:sz="0" w:space="0"/>
          </w:tblBorders>
          <w:shd w:val="clear"/>
          <w:tblCellMar>
            <w:top w:w="0" w:type="dxa"/>
            <w:left w:w="0" w:type="dxa"/>
            <w:bottom w:w="0" w:type="dxa"/>
            <w:right w:w="0" w:type="dxa"/>
          </w:tblCellMar>
        </w:tblPrEx>
        <w:tc>
          <w:tcPr>
            <w:tcW w:w="1183" w:type="dxa"/>
            <w:tcBorders>
              <w:top w:val="nil"/>
              <w:left w:val="single" w:color="000000" w:sz="4" w:space="0"/>
              <w:bottom w:val="single" w:color="auto" w:sz="4" w:space="0"/>
              <w:right w:val="single" w:color="auto"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74" w:lineRule="atLeast"/>
              <w:ind w:left="0" w:right="0" w:firstLine="257"/>
              <w:jc w:val="center"/>
              <w:textAlignment w:val="baseline"/>
            </w:pPr>
            <w:r>
              <w:rPr>
                <w:rFonts w:hint="eastAsia" w:ascii="仿宋" w:hAnsi="仿宋" w:eastAsia="仿宋" w:cs="仿宋"/>
                <w:sz w:val="16"/>
                <w:szCs w:val="16"/>
                <w:bdr w:val="none" w:color="auto" w:sz="0" w:space="0"/>
                <w:vertAlign w:val="baseline"/>
              </w:rPr>
              <w:t>1</w:t>
            </w:r>
          </w:p>
        </w:tc>
        <w:tc>
          <w:tcPr>
            <w:tcW w:w="4158" w:type="dxa"/>
            <w:tcBorders>
              <w:top w:val="nil"/>
              <w:left w:val="nil"/>
              <w:bottom w:val="single" w:color="auto" w:sz="4" w:space="0"/>
              <w:right w:val="single" w:color="000000"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74" w:lineRule="atLeast"/>
              <w:ind w:left="0" w:right="0" w:firstLine="257"/>
              <w:jc w:val="center"/>
              <w:textAlignment w:val="baseline"/>
            </w:pPr>
            <w:r>
              <w:rPr>
                <w:rFonts w:hint="eastAsia" w:ascii="仿宋" w:hAnsi="仿宋" w:eastAsia="仿宋" w:cs="仿宋"/>
                <w:sz w:val="16"/>
                <w:szCs w:val="16"/>
                <w:bdr w:val="none" w:color="auto" w:sz="0" w:space="0"/>
                <w:vertAlign w:val="baseline"/>
              </w:rPr>
              <w:t>初级工（五级）</w:t>
            </w:r>
          </w:p>
        </w:tc>
        <w:tc>
          <w:tcPr>
            <w:tcW w:w="2995" w:type="dxa"/>
            <w:tcBorders>
              <w:top w:val="nil"/>
              <w:left w:val="nil"/>
              <w:bottom w:val="single" w:color="auto" w:sz="4" w:space="0"/>
              <w:right w:val="single" w:color="000000"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74" w:lineRule="atLeast"/>
              <w:ind w:left="0" w:right="0" w:firstLine="257"/>
              <w:jc w:val="center"/>
              <w:textAlignment w:val="baseline"/>
            </w:pPr>
            <w:r>
              <w:rPr>
                <w:rFonts w:hint="eastAsia" w:ascii="仿宋" w:hAnsi="仿宋" w:eastAsia="仿宋" w:cs="仿宋"/>
                <w:sz w:val="16"/>
                <w:szCs w:val="16"/>
                <w:bdr w:val="none" w:color="auto" w:sz="0" w:space="0"/>
                <w:vertAlign w:val="baseline"/>
              </w:rPr>
              <w:t>275元</w:t>
            </w:r>
          </w:p>
        </w:tc>
      </w:tr>
      <w:tr>
        <w:tblPrEx>
          <w:tblBorders>
            <w:top w:val="single" w:color="DFDFDF" w:sz="4" w:space="0"/>
            <w:left w:val="single" w:color="DFDFDF" w:sz="4" w:space="0"/>
            <w:bottom w:val="single" w:color="DFDFDF" w:sz="4" w:space="0"/>
            <w:right w:val="single" w:color="DFDFDF" w:sz="4" w:space="0"/>
            <w:insideH w:val="none" w:color="auto" w:sz="0" w:space="0"/>
            <w:insideV w:val="none" w:color="auto" w:sz="0" w:space="0"/>
          </w:tblBorders>
          <w:tblCellMar>
            <w:top w:w="0" w:type="dxa"/>
            <w:left w:w="0" w:type="dxa"/>
            <w:bottom w:w="0" w:type="dxa"/>
            <w:right w:w="0" w:type="dxa"/>
          </w:tblCellMar>
        </w:tblPrEx>
        <w:tc>
          <w:tcPr>
            <w:tcW w:w="1183" w:type="dxa"/>
            <w:tcBorders>
              <w:top w:val="nil"/>
              <w:left w:val="single" w:color="000000" w:sz="4" w:space="0"/>
              <w:bottom w:val="single" w:color="auto" w:sz="4" w:space="0"/>
              <w:right w:val="single" w:color="auto"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74" w:lineRule="atLeast"/>
              <w:ind w:left="0" w:right="0" w:firstLine="257"/>
              <w:jc w:val="center"/>
              <w:textAlignment w:val="baseline"/>
            </w:pPr>
            <w:r>
              <w:rPr>
                <w:rFonts w:hint="eastAsia" w:ascii="仿宋" w:hAnsi="仿宋" w:eastAsia="仿宋" w:cs="仿宋"/>
                <w:sz w:val="16"/>
                <w:szCs w:val="16"/>
                <w:bdr w:val="none" w:color="auto" w:sz="0" w:space="0"/>
                <w:vertAlign w:val="baseline"/>
              </w:rPr>
              <w:t>2</w:t>
            </w:r>
          </w:p>
        </w:tc>
        <w:tc>
          <w:tcPr>
            <w:tcW w:w="4158" w:type="dxa"/>
            <w:tcBorders>
              <w:top w:val="nil"/>
              <w:left w:val="nil"/>
              <w:bottom w:val="single" w:color="auto" w:sz="4" w:space="0"/>
              <w:right w:val="single" w:color="000000"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74" w:lineRule="atLeast"/>
              <w:ind w:left="0" w:right="0" w:firstLine="257"/>
              <w:jc w:val="center"/>
              <w:textAlignment w:val="baseline"/>
            </w:pPr>
            <w:r>
              <w:rPr>
                <w:rFonts w:hint="eastAsia" w:ascii="仿宋" w:hAnsi="仿宋" w:eastAsia="仿宋" w:cs="仿宋"/>
                <w:sz w:val="16"/>
                <w:szCs w:val="16"/>
                <w:bdr w:val="none" w:color="auto" w:sz="0" w:space="0"/>
                <w:vertAlign w:val="baseline"/>
              </w:rPr>
              <w:t>中级工（四级）</w:t>
            </w:r>
          </w:p>
        </w:tc>
        <w:tc>
          <w:tcPr>
            <w:tcW w:w="2995" w:type="dxa"/>
            <w:tcBorders>
              <w:top w:val="nil"/>
              <w:left w:val="nil"/>
              <w:bottom w:val="single" w:color="auto" w:sz="4" w:space="0"/>
              <w:right w:val="single" w:color="000000"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74" w:lineRule="atLeast"/>
              <w:ind w:left="0" w:right="0" w:firstLine="257"/>
              <w:jc w:val="center"/>
              <w:textAlignment w:val="baseline"/>
            </w:pPr>
            <w:r>
              <w:rPr>
                <w:rFonts w:hint="eastAsia" w:ascii="仿宋" w:hAnsi="仿宋" w:eastAsia="仿宋" w:cs="仿宋"/>
                <w:sz w:val="16"/>
                <w:szCs w:val="16"/>
                <w:bdr w:val="none" w:color="auto" w:sz="0" w:space="0"/>
                <w:vertAlign w:val="baseline"/>
              </w:rPr>
              <w:t>320元</w:t>
            </w:r>
          </w:p>
        </w:tc>
      </w:tr>
      <w:tr>
        <w:tblPrEx>
          <w:tblBorders>
            <w:top w:val="single" w:color="DFDFDF" w:sz="4" w:space="0"/>
            <w:left w:val="single" w:color="DFDFDF" w:sz="4" w:space="0"/>
            <w:bottom w:val="single" w:color="DFDFDF" w:sz="4" w:space="0"/>
            <w:right w:val="single" w:color="DFDFDF" w:sz="4" w:space="0"/>
            <w:insideH w:val="none" w:color="auto" w:sz="0" w:space="0"/>
            <w:insideV w:val="none" w:color="auto" w:sz="0" w:space="0"/>
          </w:tblBorders>
          <w:shd w:val="clear"/>
          <w:tblCellMar>
            <w:top w:w="0" w:type="dxa"/>
            <w:left w:w="0" w:type="dxa"/>
            <w:bottom w:w="0" w:type="dxa"/>
            <w:right w:w="0" w:type="dxa"/>
          </w:tblCellMar>
        </w:tblPrEx>
        <w:tc>
          <w:tcPr>
            <w:tcW w:w="1183" w:type="dxa"/>
            <w:tcBorders>
              <w:top w:val="nil"/>
              <w:left w:val="single" w:color="000000" w:sz="4" w:space="0"/>
              <w:bottom w:val="single" w:color="auto" w:sz="4" w:space="0"/>
              <w:right w:val="single" w:color="auto"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74" w:lineRule="atLeast"/>
              <w:ind w:left="0" w:right="0" w:firstLine="257"/>
              <w:jc w:val="center"/>
              <w:textAlignment w:val="baseline"/>
            </w:pPr>
            <w:r>
              <w:rPr>
                <w:rFonts w:hint="eastAsia" w:ascii="仿宋" w:hAnsi="仿宋" w:eastAsia="仿宋" w:cs="仿宋"/>
                <w:sz w:val="16"/>
                <w:szCs w:val="16"/>
                <w:bdr w:val="none" w:color="auto" w:sz="0" w:space="0"/>
                <w:vertAlign w:val="baseline"/>
              </w:rPr>
              <w:t>3</w:t>
            </w:r>
          </w:p>
        </w:tc>
        <w:tc>
          <w:tcPr>
            <w:tcW w:w="4158" w:type="dxa"/>
            <w:tcBorders>
              <w:top w:val="nil"/>
              <w:left w:val="nil"/>
              <w:bottom w:val="single" w:color="auto" w:sz="4" w:space="0"/>
              <w:right w:val="single" w:color="000000"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74" w:lineRule="atLeast"/>
              <w:ind w:left="0" w:right="0" w:firstLine="257"/>
              <w:jc w:val="center"/>
              <w:textAlignment w:val="baseline"/>
            </w:pPr>
            <w:r>
              <w:rPr>
                <w:rFonts w:hint="eastAsia" w:ascii="仿宋" w:hAnsi="仿宋" w:eastAsia="仿宋" w:cs="仿宋"/>
                <w:sz w:val="16"/>
                <w:szCs w:val="16"/>
                <w:bdr w:val="none" w:color="auto" w:sz="0" w:space="0"/>
                <w:vertAlign w:val="baseline"/>
              </w:rPr>
              <w:t>高级工（三级）</w:t>
            </w:r>
          </w:p>
        </w:tc>
        <w:tc>
          <w:tcPr>
            <w:tcW w:w="2995" w:type="dxa"/>
            <w:tcBorders>
              <w:top w:val="nil"/>
              <w:left w:val="nil"/>
              <w:bottom w:val="single" w:color="auto" w:sz="4" w:space="0"/>
              <w:right w:val="single" w:color="000000"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74" w:lineRule="atLeast"/>
              <w:ind w:left="0" w:right="0" w:firstLine="257"/>
              <w:jc w:val="center"/>
              <w:textAlignment w:val="baseline"/>
            </w:pPr>
            <w:r>
              <w:rPr>
                <w:rFonts w:hint="eastAsia" w:ascii="仿宋" w:hAnsi="仿宋" w:eastAsia="仿宋" w:cs="仿宋"/>
                <w:sz w:val="16"/>
                <w:szCs w:val="16"/>
                <w:bdr w:val="none" w:color="auto" w:sz="0" w:space="0"/>
                <w:vertAlign w:val="baseline"/>
              </w:rPr>
              <w:t>365元</w:t>
            </w:r>
          </w:p>
        </w:tc>
      </w:tr>
      <w:tr>
        <w:tblPrEx>
          <w:tblBorders>
            <w:top w:val="single" w:color="DFDFDF" w:sz="4" w:space="0"/>
            <w:left w:val="single" w:color="DFDFDF" w:sz="4" w:space="0"/>
            <w:bottom w:val="single" w:color="DFDFDF" w:sz="4" w:space="0"/>
            <w:right w:val="single" w:color="DFDFDF" w:sz="4" w:space="0"/>
            <w:insideH w:val="none" w:color="auto" w:sz="0" w:space="0"/>
            <w:insideV w:val="none" w:color="auto" w:sz="0" w:space="0"/>
          </w:tblBorders>
          <w:tblCellMar>
            <w:top w:w="0" w:type="dxa"/>
            <w:left w:w="0" w:type="dxa"/>
            <w:bottom w:w="0" w:type="dxa"/>
            <w:right w:w="0" w:type="dxa"/>
          </w:tblCellMar>
        </w:tblPrEx>
        <w:tc>
          <w:tcPr>
            <w:tcW w:w="1183" w:type="dxa"/>
            <w:tcBorders>
              <w:top w:val="nil"/>
              <w:left w:val="single" w:color="000000" w:sz="4" w:space="0"/>
              <w:bottom w:val="single" w:color="auto" w:sz="4" w:space="0"/>
              <w:right w:val="single" w:color="auto"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74" w:lineRule="atLeast"/>
              <w:ind w:left="0" w:right="0" w:firstLine="257"/>
              <w:jc w:val="center"/>
              <w:textAlignment w:val="baseline"/>
            </w:pPr>
            <w:r>
              <w:rPr>
                <w:rFonts w:hint="eastAsia" w:ascii="仿宋" w:hAnsi="仿宋" w:eastAsia="仿宋" w:cs="仿宋"/>
                <w:sz w:val="16"/>
                <w:szCs w:val="16"/>
                <w:bdr w:val="none" w:color="auto" w:sz="0" w:space="0"/>
                <w:vertAlign w:val="baseline"/>
              </w:rPr>
              <w:t>4</w:t>
            </w:r>
          </w:p>
        </w:tc>
        <w:tc>
          <w:tcPr>
            <w:tcW w:w="4158" w:type="dxa"/>
            <w:tcBorders>
              <w:top w:val="nil"/>
              <w:left w:val="nil"/>
              <w:bottom w:val="single" w:color="auto" w:sz="4" w:space="0"/>
              <w:right w:val="single" w:color="000000"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74" w:lineRule="atLeast"/>
              <w:ind w:left="0" w:right="0" w:firstLine="257"/>
              <w:jc w:val="center"/>
              <w:textAlignment w:val="baseline"/>
            </w:pPr>
            <w:r>
              <w:rPr>
                <w:rFonts w:hint="eastAsia" w:ascii="仿宋" w:hAnsi="仿宋" w:eastAsia="仿宋" w:cs="仿宋"/>
                <w:sz w:val="16"/>
                <w:szCs w:val="16"/>
                <w:bdr w:val="none" w:color="auto" w:sz="0" w:space="0"/>
                <w:vertAlign w:val="baseline"/>
              </w:rPr>
              <w:t>技师（二级）</w:t>
            </w:r>
          </w:p>
        </w:tc>
        <w:tc>
          <w:tcPr>
            <w:tcW w:w="2995" w:type="dxa"/>
            <w:tcBorders>
              <w:top w:val="nil"/>
              <w:left w:val="nil"/>
              <w:bottom w:val="single" w:color="auto" w:sz="4" w:space="0"/>
              <w:right w:val="single" w:color="000000"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74" w:lineRule="atLeast"/>
              <w:ind w:left="0" w:right="0" w:firstLine="257"/>
              <w:jc w:val="center"/>
              <w:textAlignment w:val="baseline"/>
            </w:pPr>
            <w:r>
              <w:rPr>
                <w:rFonts w:hint="eastAsia" w:ascii="仿宋" w:hAnsi="仿宋" w:eastAsia="仿宋" w:cs="仿宋"/>
                <w:sz w:val="16"/>
                <w:szCs w:val="16"/>
                <w:bdr w:val="none" w:color="auto" w:sz="0" w:space="0"/>
                <w:vertAlign w:val="baseline"/>
              </w:rPr>
              <w:t>470元</w:t>
            </w:r>
          </w:p>
        </w:tc>
      </w:tr>
      <w:tr>
        <w:tblPrEx>
          <w:tblBorders>
            <w:top w:val="single" w:color="DFDFDF" w:sz="4" w:space="0"/>
            <w:left w:val="single" w:color="DFDFDF" w:sz="4" w:space="0"/>
            <w:bottom w:val="single" w:color="DFDFDF" w:sz="4" w:space="0"/>
            <w:right w:val="single" w:color="DFDFDF" w:sz="4" w:space="0"/>
            <w:insideH w:val="none" w:color="auto" w:sz="0" w:space="0"/>
            <w:insideV w:val="none" w:color="auto" w:sz="0" w:space="0"/>
          </w:tblBorders>
          <w:tblCellMar>
            <w:top w:w="0" w:type="dxa"/>
            <w:left w:w="0" w:type="dxa"/>
            <w:bottom w:w="0" w:type="dxa"/>
            <w:right w:w="0" w:type="dxa"/>
          </w:tblCellMar>
        </w:tblPrEx>
        <w:tc>
          <w:tcPr>
            <w:tcW w:w="1183" w:type="dxa"/>
            <w:tcBorders>
              <w:top w:val="nil"/>
              <w:left w:val="single" w:color="000000" w:sz="4" w:space="0"/>
              <w:bottom w:val="single" w:color="000000" w:sz="4" w:space="0"/>
              <w:right w:val="single" w:color="auto"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74" w:lineRule="atLeast"/>
              <w:ind w:left="0" w:right="0" w:firstLine="257"/>
              <w:jc w:val="center"/>
              <w:textAlignment w:val="baseline"/>
            </w:pPr>
            <w:r>
              <w:rPr>
                <w:rFonts w:hint="eastAsia" w:ascii="仿宋" w:hAnsi="仿宋" w:eastAsia="仿宋" w:cs="仿宋"/>
                <w:sz w:val="13"/>
                <w:szCs w:val="13"/>
                <w:bdr w:val="none" w:color="auto" w:sz="0" w:space="0"/>
                <w:vertAlign w:val="baseline"/>
              </w:rPr>
              <w:t>5</w:t>
            </w:r>
          </w:p>
        </w:tc>
        <w:tc>
          <w:tcPr>
            <w:tcW w:w="4158" w:type="dxa"/>
            <w:tcBorders>
              <w:top w:val="nil"/>
              <w:left w:val="nil"/>
              <w:bottom w:val="single" w:color="000000" w:sz="4" w:space="0"/>
              <w:right w:val="single" w:color="000000"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74" w:lineRule="atLeast"/>
              <w:ind w:left="0" w:right="0" w:firstLine="257"/>
              <w:jc w:val="center"/>
              <w:textAlignment w:val="baseline"/>
            </w:pPr>
            <w:r>
              <w:rPr>
                <w:rFonts w:hint="eastAsia" w:ascii="仿宋" w:hAnsi="仿宋" w:eastAsia="仿宋" w:cs="仿宋"/>
                <w:sz w:val="16"/>
                <w:szCs w:val="16"/>
                <w:bdr w:val="none" w:color="auto" w:sz="0" w:space="0"/>
                <w:vertAlign w:val="baseline"/>
              </w:rPr>
              <w:t>高级技师（一级）</w:t>
            </w:r>
          </w:p>
        </w:tc>
        <w:tc>
          <w:tcPr>
            <w:tcW w:w="2995" w:type="dxa"/>
            <w:tcBorders>
              <w:top w:val="nil"/>
              <w:left w:val="nil"/>
              <w:bottom w:val="single" w:color="000000" w:sz="4" w:space="0"/>
              <w:right w:val="single" w:color="000000" w:sz="4" w:space="0"/>
            </w:tcBorders>
            <w:shd w:val="clear"/>
            <w:tcMar>
              <w:left w:w="60" w:type="dxa"/>
              <w:right w:w="60"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86" w:afterAutospacing="0" w:line="274" w:lineRule="atLeast"/>
              <w:ind w:left="0" w:right="0" w:firstLine="257"/>
              <w:jc w:val="center"/>
              <w:textAlignment w:val="baseline"/>
            </w:pPr>
            <w:r>
              <w:rPr>
                <w:rFonts w:hint="eastAsia" w:ascii="仿宋" w:hAnsi="仿宋" w:eastAsia="仿宋" w:cs="仿宋"/>
                <w:sz w:val="16"/>
                <w:szCs w:val="16"/>
                <w:bdr w:val="none" w:color="auto" w:sz="0" w:space="0"/>
                <w:vertAlign w:val="baseline"/>
              </w:rPr>
              <w:t>380元+130元</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240" w:lineRule="atLeast"/>
        <w:ind w:left="0" w:right="0" w:firstLine="257"/>
        <w:jc w:val="left"/>
        <w:textAlignment w:val="baseline"/>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6" w:afterAutospacing="0" w:line="317" w:lineRule="atLeast"/>
        <w:ind w:left="0" w:right="0" w:firstLine="369"/>
        <w:jc w:val="left"/>
        <w:textAlignment w:val="baseline"/>
        <w:rPr>
          <w:sz w:val="27"/>
          <w:szCs w:val="27"/>
        </w:rPr>
      </w:pPr>
      <w:r>
        <w:rPr>
          <w:rFonts w:ascii="华文仿宋" w:hAnsi="华文仿宋" w:eastAsia="华文仿宋" w:cs="华文仿宋"/>
          <w:i w:val="0"/>
          <w:iCs w:val="0"/>
          <w:caps w:val="0"/>
          <w:color w:val="333333"/>
          <w:spacing w:val="0"/>
          <w:sz w:val="18"/>
          <w:szCs w:val="18"/>
          <w:bdr w:val="none" w:color="auto" w:sz="0" w:space="0"/>
          <w:vertAlign w:val="baseline"/>
        </w:rPr>
        <w:t>说明：2022年高级技师（一级）申报人员本人在工考报名网站（http://bm.hnsgkb.com）进行网上缴费。缴费分两次，通过资格审查后，缴纳费用380元（报名考试费60元，培训费320元）；进入评审环节人员，缴纳评审费130元。未进入评审环节的人员不再缴纳第二次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6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hZDZkMTgxNGIxMWU1ODNhMjM4M2YzZjJiODYwMGEifQ=="/>
  </w:docVars>
  <w:rsids>
    <w:rsidRoot w:val="05607634"/>
    <w:rsid w:val="05607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2023-03-08T01:22:00Z</dcterms:created>
  <dc:creator>VK9599</dc:creator>
  <cp:lastModifiedBy>VK9599</cp:lastModifiedBy>
  <dcterms:modified xsi:type="dcterms:W3CDTF">2023-03-08T01:24:31Z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7BC7482B649845DEAC0547F720F9D0CD</vt:lpwstr>
  </property>
</Properties>
</file>