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26C66">
      <w:pPr>
        <w:pStyle w:val="2"/>
        <w:adjustRightInd w:val="0"/>
        <w:snapToGrid w:val="0"/>
        <w:spacing w:line="360" w:lineRule="auto"/>
        <w:rPr>
          <w:szCs w:val="44"/>
        </w:rPr>
      </w:pPr>
      <w:r>
        <w:rPr>
          <w:szCs w:val="44"/>
        </w:rPr>
        <w:t>X</w:t>
      </w:r>
      <w:r>
        <w:rPr>
          <w:rFonts w:hint="eastAsia"/>
          <w:szCs w:val="44"/>
        </w:rPr>
        <w:t>X</w:t>
      </w:r>
      <w:r>
        <w:rPr>
          <w:szCs w:val="44"/>
        </w:rPr>
        <w:t>X</w:t>
      </w:r>
      <w:r>
        <w:rPr>
          <w:rFonts w:hint="eastAsia"/>
          <w:szCs w:val="44"/>
        </w:rPr>
        <w:t>软件采购合同</w:t>
      </w:r>
    </w:p>
    <w:p w14:paraId="26053A41">
      <w:pPr>
        <w:adjustRightInd w:val="0"/>
        <w:snapToGrid w:val="0"/>
        <w:spacing w:line="360" w:lineRule="auto"/>
        <w:ind w:right="88" w:rightChars="40"/>
        <w:rPr>
          <w:rFonts w:ascii="宋体" w:hAnsi="宋体"/>
          <w:sz w:val="24"/>
        </w:rPr>
      </w:pPr>
      <w:r>
        <w:rPr>
          <w:rFonts w:hint="eastAsia" w:ascii="宋体" w:hAnsi="宋体"/>
          <w:sz w:val="24"/>
        </w:rPr>
        <w:t xml:space="preserve">                                               合同编号：（采购编号）</w:t>
      </w:r>
    </w:p>
    <w:p w14:paraId="3198A81B">
      <w:pPr>
        <w:adjustRightInd w:val="0"/>
        <w:snapToGrid w:val="0"/>
        <w:spacing w:line="360" w:lineRule="auto"/>
        <w:ind w:right="88" w:rightChars="40"/>
        <w:rPr>
          <w:rFonts w:ascii="宋体" w:hAnsi="宋体"/>
          <w:sz w:val="24"/>
        </w:rPr>
      </w:pPr>
      <w:r>
        <w:rPr>
          <w:rFonts w:hint="eastAsia" w:ascii="宋体" w:hAnsi="宋体"/>
          <w:sz w:val="24"/>
        </w:rPr>
        <w:t xml:space="preserve">                                               签署地点：河南师范大学</w:t>
      </w:r>
    </w:p>
    <w:p w14:paraId="4875DB24">
      <w:pPr>
        <w:adjustRightInd w:val="0"/>
        <w:snapToGrid w:val="0"/>
        <w:spacing w:line="360" w:lineRule="auto"/>
        <w:rPr>
          <w:rFonts w:ascii="宋体" w:hAnsi="宋体"/>
          <w:sz w:val="24"/>
        </w:rPr>
      </w:pPr>
      <w:r>
        <w:rPr>
          <w:rFonts w:hint="eastAsia" w:ascii="宋体" w:hAnsi="宋体"/>
          <w:sz w:val="24"/>
        </w:rPr>
        <w:t>甲方（需方）：河南师范大学</w:t>
      </w:r>
    </w:p>
    <w:p w14:paraId="6C64CAEB">
      <w:pPr>
        <w:adjustRightInd w:val="0"/>
        <w:snapToGrid w:val="0"/>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71C98737">
      <w:pPr>
        <w:adjustRightInd w:val="0"/>
        <w:snapToGrid w:val="0"/>
        <w:spacing w:line="360" w:lineRule="auto"/>
        <w:rPr>
          <w:sz w:val="24"/>
        </w:rPr>
      </w:pPr>
      <w:r>
        <w:rPr>
          <w:rFonts w:hint="eastAsia" w:ascii="宋体" w:hAnsi="宋体"/>
          <w:sz w:val="24"/>
        </w:rPr>
        <w:t xml:space="preserve">    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p>
    <w:p w14:paraId="5B552DE8">
      <w:pPr>
        <w:adjustRightInd w:val="0"/>
        <w:snapToGrid w:val="0"/>
        <w:spacing w:line="360" w:lineRule="auto"/>
        <w:rPr>
          <w:b/>
          <w:sz w:val="24"/>
          <w:szCs w:val="24"/>
        </w:rPr>
      </w:pPr>
      <w:r>
        <w:rPr>
          <w:rFonts w:hint="eastAsia"/>
          <w:b/>
          <w:sz w:val="24"/>
          <w:szCs w:val="24"/>
        </w:rPr>
        <w:t xml:space="preserve">    一、供货清单及报价表</w:t>
      </w:r>
    </w:p>
    <w:tbl>
      <w:tblPr>
        <w:tblStyle w:val="5"/>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1748"/>
        <w:gridCol w:w="1459"/>
        <w:gridCol w:w="1552"/>
        <w:gridCol w:w="707"/>
        <w:gridCol w:w="936"/>
        <w:gridCol w:w="1601"/>
      </w:tblGrid>
      <w:tr w14:paraId="78BF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570" w:type="dxa"/>
          </w:tcPr>
          <w:p w14:paraId="6DCF10E5">
            <w:pPr>
              <w:adjustRightInd w:val="0"/>
              <w:snapToGrid w:val="0"/>
              <w:spacing w:line="360" w:lineRule="auto"/>
              <w:rPr>
                <w:sz w:val="24"/>
                <w:szCs w:val="24"/>
              </w:rPr>
            </w:pPr>
          </w:p>
          <w:p w14:paraId="3BC80572">
            <w:pPr>
              <w:adjustRightInd w:val="0"/>
              <w:snapToGrid w:val="0"/>
              <w:spacing w:line="360" w:lineRule="auto"/>
              <w:rPr>
                <w:sz w:val="24"/>
                <w:szCs w:val="24"/>
              </w:rPr>
            </w:pPr>
            <w:r>
              <w:rPr>
                <w:rFonts w:hint="eastAsia"/>
                <w:sz w:val="24"/>
                <w:szCs w:val="24"/>
              </w:rPr>
              <w:t>序号</w:t>
            </w:r>
          </w:p>
        </w:tc>
        <w:tc>
          <w:tcPr>
            <w:tcW w:w="1748" w:type="dxa"/>
          </w:tcPr>
          <w:p w14:paraId="0385C1C1">
            <w:pPr>
              <w:adjustRightInd w:val="0"/>
              <w:snapToGrid w:val="0"/>
              <w:spacing w:line="360" w:lineRule="auto"/>
              <w:rPr>
                <w:sz w:val="24"/>
                <w:szCs w:val="24"/>
              </w:rPr>
            </w:pPr>
          </w:p>
          <w:p w14:paraId="3D66CCB3">
            <w:pPr>
              <w:adjustRightInd w:val="0"/>
              <w:snapToGrid w:val="0"/>
              <w:spacing w:line="360" w:lineRule="auto"/>
              <w:rPr>
                <w:sz w:val="24"/>
                <w:szCs w:val="24"/>
              </w:rPr>
            </w:pPr>
            <w:r>
              <w:rPr>
                <w:rFonts w:hint="eastAsia"/>
                <w:sz w:val="24"/>
                <w:szCs w:val="24"/>
              </w:rPr>
              <w:t>软件产品名称</w:t>
            </w:r>
          </w:p>
        </w:tc>
        <w:tc>
          <w:tcPr>
            <w:tcW w:w="1459" w:type="dxa"/>
          </w:tcPr>
          <w:p w14:paraId="2BC7C2B9">
            <w:pPr>
              <w:adjustRightInd w:val="0"/>
              <w:snapToGrid w:val="0"/>
              <w:spacing w:line="360" w:lineRule="auto"/>
              <w:rPr>
                <w:sz w:val="24"/>
                <w:szCs w:val="24"/>
              </w:rPr>
            </w:pPr>
          </w:p>
          <w:p w14:paraId="298608ED">
            <w:pPr>
              <w:adjustRightInd w:val="0"/>
              <w:snapToGrid w:val="0"/>
              <w:spacing w:line="360" w:lineRule="auto"/>
              <w:rPr>
                <w:sz w:val="24"/>
                <w:szCs w:val="24"/>
              </w:rPr>
            </w:pPr>
            <w:r>
              <w:rPr>
                <w:rFonts w:hint="eastAsia"/>
                <w:sz w:val="24"/>
                <w:szCs w:val="24"/>
              </w:rPr>
              <w:t>规格、型号</w:t>
            </w:r>
          </w:p>
        </w:tc>
        <w:tc>
          <w:tcPr>
            <w:tcW w:w="1552" w:type="dxa"/>
          </w:tcPr>
          <w:p w14:paraId="16113E26">
            <w:pPr>
              <w:adjustRightInd w:val="0"/>
              <w:snapToGrid w:val="0"/>
              <w:spacing w:line="360" w:lineRule="auto"/>
              <w:rPr>
                <w:sz w:val="24"/>
                <w:szCs w:val="24"/>
              </w:rPr>
            </w:pPr>
          </w:p>
          <w:p w14:paraId="2E89E750">
            <w:pPr>
              <w:adjustRightInd w:val="0"/>
              <w:snapToGrid w:val="0"/>
              <w:spacing w:line="360" w:lineRule="auto"/>
              <w:rPr>
                <w:sz w:val="24"/>
                <w:szCs w:val="24"/>
              </w:rPr>
            </w:pPr>
            <w:r>
              <w:rPr>
                <w:rFonts w:hint="eastAsia"/>
                <w:sz w:val="24"/>
                <w:szCs w:val="24"/>
              </w:rPr>
              <w:t>软件产品版权所有者</w:t>
            </w:r>
          </w:p>
          <w:p w14:paraId="7B7BA1AE">
            <w:pPr>
              <w:adjustRightInd w:val="0"/>
              <w:snapToGrid w:val="0"/>
              <w:spacing w:line="360" w:lineRule="auto"/>
              <w:rPr>
                <w:sz w:val="24"/>
                <w:szCs w:val="24"/>
              </w:rPr>
            </w:pPr>
          </w:p>
        </w:tc>
        <w:tc>
          <w:tcPr>
            <w:tcW w:w="707" w:type="dxa"/>
          </w:tcPr>
          <w:p w14:paraId="50F68433">
            <w:pPr>
              <w:adjustRightInd w:val="0"/>
              <w:snapToGrid w:val="0"/>
              <w:spacing w:line="360" w:lineRule="auto"/>
              <w:rPr>
                <w:sz w:val="24"/>
                <w:szCs w:val="24"/>
              </w:rPr>
            </w:pPr>
          </w:p>
          <w:p w14:paraId="1C3A7943">
            <w:pPr>
              <w:adjustRightInd w:val="0"/>
              <w:snapToGrid w:val="0"/>
              <w:spacing w:line="360" w:lineRule="auto"/>
              <w:rPr>
                <w:sz w:val="24"/>
                <w:szCs w:val="24"/>
              </w:rPr>
            </w:pPr>
            <w:r>
              <w:rPr>
                <w:rFonts w:hint="eastAsia"/>
                <w:sz w:val="24"/>
                <w:szCs w:val="24"/>
              </w:rPr>
              <w:t>数量</w:t>
            </w:r>
          </w:p>
        </w:tc>
        <w:tc>
          <w:tcPr>
            <w:tcW w:w="936" w:type="dxa"/>
          </w:tcPr>
          <w:p w14:paraId="0A4AC5ED">
            <w:pPr>
              <w:adjustRightInd w:val="0"/>
              <w:snapToGrid w:val="0"/>
              <w:spacing w:line="360" w:lineRule="auto"/>
              <w:rPr>
                <w:sz w:val="24"/>
                <w:szCs w:val="24"/>
              </w:rPr>
            </w:pPr>
          </w:p>
          <w:p w14:paraId="7197CC9E">
            <w:pPr>
              <w:adjustRightInd w:val="0"/>
              <w:snapToGrid w:val="0"/>
              <w:spacing w:line="360" w:lineRule="auto"/>
              <w:rPr>
                <w:sz w:val="24"/>
                <w:szCs w:val="24"/>
              </w:rPr>
            </w:pPr>
            <w:r>
              <w:rPr>
                <w:rFonts w:hint="eastAsia"/>
                <w:sz w:val="24"/>
                <w:szCs w:val="24"/>
              </w:rPr>
              <w:t>单价</w:t>
            </w:r>
          </w:p>
          <w:p w14:paraId="6791BA17">
            <w:pPr>
              <w:adjustRightInd w:val="0"/>
              <w:snapToGrid w:val="0"/>
              <w:spacing w:line="360" w:lineRule="auto"/>
              <w:rPr>
                <w:sz w:val="24"/>
                <w:szCs w:val="24"/>
              </w:rPr>
            </w:pPr>
            <w:r>
              <w:rPr>
                <w:rFonts w:hint="eastAsia"/>
                <w:sz w:val="24"/>
                <w:szCs w:val="24"/>
              </w:rPr>
              <w:t>（元）</w:t>
            </w:r>
          </w:p>
        </w:tc>
        <w:tc>
          <w:tcPr>
            <w:tcW w:w="1601" w:type="dxa"/>
          </w:tcPr>
          <w:p w14:paraId="5C9CE563">
            <w:pPr>
              <w:adjustRightInd w:val="0"/>
              <w:snapToGrid w:val="0"/>
              <w:spacing w:line="360" w:lineRule="auto"/>
              <w:rPr>
                <w:sz w:val="24"/>
                <w:szCs w:val="24"/>
              </w:rPr>
            </w:pPr>
          </w:p>
          <w:p w14:paraId="0A18E96D">
            <w:pPr>
              <w:adjustRightInd w:val="0"/>
              <w:snapToGrid w:val="0"/>
              <w:spacing w:line="360" w:lineRule="auto"/>
              <w:rPr>
                <w:sz w:val="24"/>
                <w:szCs w:val="24"/>
              </w:rPr>
            </w:pPr>
            <w:r>
              <w:rPr>
                <w:rFonts w:hint="eastAsia"/>
                <w:sz w:val="24"/>
                <w:szCs w:val="24"/>
              </w:rPr>
              <w:t>总金额（元）</w:t>
            </w:r>
          </w:p>
        </w:tc>
      </w:tr>
      <w:tr w14:paraId="1ED5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70" w:type="dxa"/>
          </w:tcPr>
          <w:p w14:paraId="6AA8B60A">
            <w:pPr>
              <w:adjustRightInd w:val="0"/>
              <w:snapToGrid w:val="0"/>
              <w:spacing w:line="360" w:lineRule="auto"/>
              <w:ind w:left="-39"/>
              <w:rPr>
                <w:sz w:val="24"/>
                <w:szCs w:val="24"/>
              </w:rPr>
            </w:pPr>
          </w:p>
        </w:tc>
        <w:tc>
          <w:tcPr>
            <w:tcW w:w="1748" w:type="dxa"/>
          </w:tcPr>
          <w:p w14:paraId="655C96F1">
            <w:pPr>
              <w:adjustRightInd w:val="0"/>
              <w:snapToGrid w:val="0"/>
              <w:spacing w:line="360" w:lineRule="auto"/>
              <w:ind w:left="-39"/>
              <w:rPr>
                <w:sz w:val="24"/>
                <w:szCs w:val="24"/>
              </w:rPr>
            </w:pPr>
          </w:p>
        </w:tc>
        <w:tc>
          <w:tcPr>
            <w:tcW w:w="1459" w:type="dxa"/>
          </w:tcPr>
          <w:p w14:paraId="2C177850">
            <w:pPr>
              <w:adjustRightInd w:val="0"/>
              <w:snapToGrid w:val="0"/>
              <w:spacing w:line="360" w:lineRule="auto"/>
              <w:ind w:left="-39"/>
              <w:rPr>
                <w:sz w:val="24"/>
                <w:szCs w:val="24"/>
              </w:rPr>
            </w:pPr>
          </w:p>
        </w:tc>
        <w:tc>
          <w:tcPr>
            <w:tcW w:w="1552" w:type="dxa"/>
          </w:tcPr>
          <w:p w14:paraId="1B6F69F5">
            <w:pPr>
              <w:adjustRightInd w:val="0"/>
              <w:snapToGrid w:val="0"/>
              <w:spacing w:line="360" w:lineRule="auto"/>
              <w:ind w:left="-39"/>
              <w:rPr>
                <w:sz w:val="24"/>
                <w:szCs w:val="24"/>
              </w:rPr>
            </w:pPr>
          </w:p>
        </w:tc>
        <w:tc>
          <w:tcPr>
            <w:tcW w:w="707" w:type="dxa"/>
          </w:tcPr>
          <w:p w14:paraId="1C40AE21">
            <w:pPr>
              <w:adjustRightInd w:val="0"/>
              <w:snapToGrid w:val="0"/>
              <w:spacing w:line="360" w:lineRule="auto"/>
              <w:ind w:left="-39"/>
              <w:rPr>
                <w:sz w:val="24"/>
                <w:szCs w:val="24"/>
              </w:rPr>
            </w:pPr>
          </w:p>
        </w:tc>
        <w:tc>
          <w:tcPr>
            <w:tcW w:w="936" w:type="dxa"/>
          </w:tcPr>
          <w:p w14:paraId="7864DE75">
            <w:pPr>
              <w:adjustRightInd w:val="0"/>
              <w:snapToGrid w:val="0"/>
              <w:spacing w:line="360" w:lineRule="auto"/>
              <w:ind w:left="-39"/>
              <w:rPr>
                <w:sz w:val="24"/>
                <w:szCs w:val="24"/>
              </w:rPr>
            </w:pPr>
          </w:p>
        </w:tc>
        <w:tc>
          <w:tcPr>
            <w:tcW w:w="1601" w:type="dxa"/>
          </w:tcPr>
          <w:p w14:paraId="50B730BB">
            <w:pPr>
              <w:adjustRightInd w:val="0"/>
              <w:snapToGrid w:val="0"/>
              <w:spacing w:line="360" w:lineRule="auto"/>
              <w:ind w:left="-39"/>
              <w:rPr>
                <w:sz w:val="24"/>
                <w:szCs w:val="24"/>
              </w:rPr>
            </w:pPr>
          </w:p>
        </w:tc>
      </w:tr>
      <w:tr w14:paraId="74D9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70" w:type="dxa"/>
          </w:tcPr>
          <w:p w14:paraId="76A1C4C6">
            <w:pPr>
              <w:adjustRightInd w:val="0"/>
              <w:snapToGrid w:val="0"/>
              <w:spacing w:line="360" w:lineRule="auto"/>
              <w:ind w:left="-39"/>
              <w:rPr>
                <w:sz w:val="24"/>
                <w:szCs w:val="24"/>
              </w:rPr>
            </w:pPr>
          </w:p>
        </w:tc>
        <w:tc>
          <w:tcPr>
            <w:tcW w:w="1748" w:type="dxa"/>
          </w:tcPr>
          <w:p w14:paraId="3706D664">
            <w:pPr>
              <w:adjustRightInd w:val="0"/>
              <w:snapToGrid w:val="0"/>
              <w:spacing w:line="360" w:lineRule="auto"/>
              <w:ind w:left="-39"/>
              <w:rPr>
                <w:sz w:val="24"/>
                <w:szCs w:val="24"/>
              </w:rPr>
            </w:pPr>
          </w:p>
        </w:tc>
        <w:tc>
          <w:tcPr>
            <w:tcW w:w="1459" w:type="dxa"/>
          </w:tcPr>
          <w:p w14:paraId="1C5B9AEA">
            <w:pPr>
              <w:adjustRightInd w:val="0"/>
              <w:snapToGrid w:val="0"/>
              <w:spacing w:line="360" w:lineRule="auto"/>
              <w:ind w:left="-39"/>
              <w:rPr>
                <w:sz w:val="24"/>
                <w:szCs w:val="24"/>
              </w:rPr>
            </w:pPr>
          </w:p>
        </w:tc>
        <w:tc>
          <w:tcPr>
            <w:tcW w:w="1552" w:type="dxa"/>
          </w:tcPr>
          <w:p w14:paraId="0152BBA8">
            <w:pPr>
              <w:adjustRightInd w:val="0"/>
              <w:snapToGrid w:val="0"/>
              <w:spacing w:line="360" w:lineRule="auto"/>
              <w:ind w:left="-39"/>
              <w:rPr>
                <w:sz w:val="24"/>
                <w:szCs w:val="24"/>
              </w:rPr>
            </w:pPr>
          </w:p>
        </w:tc>
        <w:tc>
          <w:tcPr>
            <w:tcW w:w="707" w:type="dxa"/>
          </w:tcPr>
          <w:p w14:paraId="5DF5DBCB">
            <w:pPr>
              <w:adjustRightInd w:val="0"/>
              <w:snapToGrid w:val="0"/>
              <w:spacing w:line="360" w:lineRule="auto"/>
              <w:ind w:left="-39"/>
              <w:rPr>
                <w:sz w:val="24"/>
                <w:szCs w:val="24"/>
              </w:rPr>
            </w:pPr>
          </w:p>
        </w:tc>
        <w:tc>
          <w:tcPr>
            <w:tcW w:w="936" w:type="dxa"/>
          </w:tcPr>
          <w:p w14:paraId="3BFDEAB1">
            <w:pPr>
              <w:adjustRightInd w:val="0"/>
              <w:snapToGrid w:val="0"/>
              <w:spacing w:line="360" w:lineRule="auto"/>
              <w:ind w:left="-39"/>
              <w:rPr>
                <w:sz w:val="24"/>
                <w:szCs w:val="24"/>
              </w:rPr>
            </w:pPr>
          </w:p>
        </w:tc>
        <w:tc>
          <w:tcPr>
            <w:tcW w:w="1601" w:type="dxa"/>
          </w:tcPr>
          <w:p w14:paraId="1721557B">
            <w:pPr>
              <w:adjustRightInd w:val="0"/>
              <w:snapToGrid w:val="0"/>
              <w:spacing w:line="360" w:lineRule="auto"/>
              <w:ind w:left="-39"/>
              <w:rPr>
                <w:sz w:val="24"/>
                <w:szCs w:val="24"/>
              </w:rPr>
            </w:pPr>
          </w:p>
        </w:tc>
      </w:tr>
      <w:tr w14:paraId="4763B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570" w:type="dxa"/>
          </w:tcPr>
          <w:p w14:paraId="44DF479E">
            <w:pPr>
              <w:adjustRightInd w:val="0"/>
              <w:snapToGrid w:val="0"/>
              <w:spacing w:line="360" w:lineRule="auto"/>
              <w:ind w:left="-39"/>
              <w:rPr>
                <w:sz w:val="24"/>
                <w:szCs w:val="24"/>
              </w:rPr>
            </w:pPr>
          </w:p>
        </w:tc>
        <w:tc>
          <w:tcPr>
            <w:tcW w:w="8003" w:type="dxa"/>
            <w:gridSpan w:val="6"/>
          </w:tcPr>
          <w:p w14:paraId="44CB5409">
            <w:pPr>
              <w:adjustRightInd w:val="0"/>
              <w:snapToGrid w:val="0"/>
              <w:spacing w:line="360" w:lineRule="auto"/>
              <w:ind w:left="-39"/>
              <w:rPr>
                <w:sz w:val="24"/>
                <w:szCs w:val="24"/>
              </w:rPr>
            </w:pPr>
            <w:r>
              <w:rPr>
                <w:rFonts w:hint="eastAsia"/>
                <w:sz w:val="24"/>
                <w:szCs w:val="24"/>
              </w:rPr>
              <w:t>合计：人民币（大写）</w:t>
            </w:r>
          </w:p>
        </w:tc>
      </w:tr>
    </w:tbl>
    <w:p w14:paraId="584C1525">
      <w:pPr>
        <w:adjustRightInd w:val="0"/>
        <w:snapToGrid w:val="0"/>
        <w:spacing w:line="360" w:lineRule="auto"/>
        <w:rPr>
          <w:rFonts w:ascii="宋体" w:hAnsi="宋体"/>
          <w:sz w:val="24"/>
        </w:rPr>
      </w:pPr>
      <w:r>
        <w:rPr>
          <w:rFonts w:hint="eastAsia" w:ascii="宋体" w:hAnsi="宋体"/>
          <w:sz w:val="24"/>
        </w:rPr>
        <w:t>附：1. 技术规格书(技术参数及要求)</w:t>
      </w:r>
    </w:p>
    <w:p w14:paraId="79D403A8">
      <w:pPr>
        <w:adjustRightInd w:val="0"/>
        <w:snapToGrid w:val="0"/>
        <w:spacing w:line="360" w:lineRule="auto"/>
        <w:rPr>
          <w:rFonts w:ascii="宋体" w:hAnsi="宋体"/>
          <w:i/>
          <w:iCs/>
          <w:sz w:val="24"/>
          <w:u w:val="thick"/>
        </w:rPr>
      </w:pPr>
      <w:r>
        <w:rPr>
          <w:rFonts w:hint="eastAsia" w:ascii="宋体" w:hAnsi="宋体"/>
          <w:sz w:val="24"/>
        </w:rPr>
        <w:t xml:space="preserve">    2. 售后服务承诺</w:t>
      </w:r>
      <w:r>
        <w:rPr>
          <w:rFonts w:hint="eastAsia" w:ascii="宋体" w:hAnsi="宋体"/>
          <w:i/>
          <w:iCs/>
          <w:sz w:val="24"/>
          <w:u w:val="thick"/>
        </w:rPr>
        <w:t>（请注意：附件也需要各方盖章。合同正式文本中请删去本括号内容）</w:t>
      </w:r>
    </w:p>
    <w:p w14:paraId="559D2E5A">
      <w:pPr>
        <w:adjustRightInd w:val="0"/>
        <w:snapToGrid w:val="0"/>
        <w:spacing w:line="360" w:lineRule="auto"/>
        <w:rPr>
          <w:rFonts w:ascii="宋体" w:hAnsi="宋体"/>
          <w:b/>
          <w:sz w:val="24"/>
        </w:rPr>
      </w:pPr>
      <w:r>
        <w:rPr>
          <w:rFonts w:hint="eastAsia" w:ascii="宋体" w:hAnsi="宋体"/>
          <w:b/>
          <w:sz w:val="24"/>
        </w:rPr>
        <w:t xml:space="preserve">    二、合同金额</w:t>
      </w:r>
    </w:p>
    <w:p w14:paraId="0A08294F">
      <w:pPr>
        <w:adjustRightInd w:val="0"/>
        <w:snapToGrid w:val="0"/>
        <w:spacing w:line="360" w:lineRule="auto"/>
        <w:rPr>
          <w:rFonts w:ascii="宋体" w:hAnsi="宋体"/>
          <w:b/>
          <w:sz w:val="24"/>
        </w:rPr>
      </w:pPr>
      <w:r>
        <w:rPr>
          <w:rFonts w:hint="eastAsia" w:ascii="宋体" w:hAnsi="宋体"/>
          <w:b/>
          <w:sz w:val="24"/>
        </w:rPr>
        <w:t xml:space="preserve">   </w:t>
      </w:r>
      <w:r>
        <w:rPr>
          <w:rFonts w:hint="eastAsia" w:ascii="宋体" w:hAnsi="宋体"/>
          <w:sz w:val="24"/>
        </w:rPr>
        <w:t xml:space="preserve"> 人民币（</w:t>
      </w:r>
      <w:r>
        <w:rPr>
          <w:rFonts w:hint="eastAsia"/>
          <w:sz w:val="24"/>
        </w:rPr>
        <w:t>大写）：</w:t>
      </w:r>
      <w:r>
        <w:rPr>
          <w:rFonts w:hint="eastAsia"/>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762583C7">
      <w:pPr>
        <w:adjustRightInd w:val="0"/>
        <w:snapToGrid w:val="0"/>
        <w:spacing w:line="360" w:lineRule="auto"/>
        <w:rPr>
          <w:rFonts w:ascii="宋体" w:hAnsi="宋体"/>
          <w:b/>
          <w:sz w:val="24"/>
        </w:rPr>
      </w:pPr>
      <w:r>
        <w:rPr>
          <w:rFonts w:hint="eastAsia" w:ascii="宋体" w:hAnsi="宋体"/>
          <w:b/>
          <w:sz w:val="24"/>
        </w:rPr>
        <w:t xml:space="preserve">    </w:t>
      </w:r>
      <w:r>
        <w:rPr>
          <w:rFonts w:hint="eastAsia" w:ascii="宋体" w:hAnsi="宋体"/>
          <w:sz w:val="24"/>
        </w:rPr>
        <w:t>合同价款的组成：软件价款及运输、安装、升级、人员培训、税金等费用。</w:t>
      </w:r>
    </w:p>
    <w:p w14:paraId="183D5F75">
      <w:pPr>
        <w:adjustRightInd w:val="0"/>
        <w:snapToGrid w:val="0"/>
        <w:spacing w:line="360" w:lineRule="auto"/>
        <w:rPr>
          <w:b/>
          <w:sz w:val="24"/>
          <w:szCs w:val="24"/>
        </w:rPr>
      </w:pPr>
      <w:r>
        <w:rPr>
          <w:rFonts w:hint="eastAsia" w:ascii="宋体" w:hAnsi="宋体"/>
          <w:b/>
          <w:sz w:val="24"/>
        </w:rPr>
        <w:t xml:space="preserve">     三</w:t>
      </w:r>
      <w:r>
        <w:rPr>
          <w:rFonts w:hint="eastAsia"/>
          <w:b/>
          <w:sz w:val="24"/>
          <w:szCs w:val="24"/>
        </w:rPr>
        <w:t>、交货内容、日期、地点及方式</w:t>
      </w:r>
    </w:p>
    <w:p w14:paraId="0583D038">
      <w:pPr>
        <w:adjustRightInd w:val="0"/>
        <w:snapToGrid w:val="0"/>
        <w:spacing w:line="360" w:lineRule="auto"/>
        <w:ind w:left="60" w:firstLine="480" w:firstLineChars="200"/>
        <w:rPr>
          <w:rFonts w:ascii="宋体" w:hAnsi="宋体" w:eastAsia="宋体" w:cs="宋体"/>
          <w:sz w:val="24"/>
          <w:szCs w:val="24"/>
        </w:rPr>
      </w:pPr>
      <w:r>
        <w:rPr>
          <w:rFonts w:hint="eastAsia" w:ascii="宋体" w:hAnsi="宋体" w:eastAsia="宋体" w:cs="宋体"/>
          <w:sz w:val="24"/>
          <w:szCs w:val="24"/>
        </w:rPr>
        <w:t xml:space="preserve">1. 交付内容：乙方向甲方交付的产品是指本合同中约定的计算机软件或信息系统等产品，包括软件程序及相关手册或产品资料，不包括软件产品源代码及程序开发过程中形成的技术文档； </w:t>
      </w:r>
      <w:r>
        <w:rPr>
          <w:rFonts w:ascii="宋体" w:hAnsi="宋体" w:eastAsia="宋体" w:cs="宋体"/>
          <w:sz w:val="24"/>
          <w:szCs w:val="24"/>
        </w:rPr>
        <w:t>产品的包装必须牢固</w:t>
      </w:r>
      <w:r>
        <w:rPr>
          <w:rFonts w:hint="eastAsia" w:ascii="宋体" w:hAnsi="宋体" w:eastAsia="宋体" w:cs="宋体"/>
          <w:sz w:val="24"/>
          <w:szCs w:val="24"/>
        </w:rPr>
        <w:t>，</w:t>
      </w:r>
      <w:r>
        <w:rPr>
          <w:rFonts w:ascii="宋体" w:hAnsi="宋体" w:eastAsia="宋体" w:cs="宋体"/>
          <w:sz w:val="24"/>
          <w:szCs w:val="24"/>
        </w:rPr>
        <w:t>乙方应保障产品在运输途中的安全。甲方对产</w:t>
      </w:r>
      <w:r>
        <w:rPr>
          <w:rFonts w:hint="eastAsia" w:ascii="宋体" w:hAnsi="宋体" w:eastAsia="宋体" w:cs="宋体"/>
          <w:sz w:val="24"/>
          <w:szCs w:val="24"/>
        </w:rPr>
        <w:t>品的包装有特殊要求的，乙方应当</w:t>
      </w:r>
      <w:r>
        <w:rPr>
          <w:rFonts w:ascii="宋体" w:hAnsi="宋体" w:eastAsia="宋体" w:cs="宋体"/>
          <w:sz w:val="24"/>
          <w:szCs w:val="24"/>
        </w:rPr>
        <w:t>按照要求包装。产品的包装物乙方不回收</w:t>
      </w:r>
      <w:r>
        <w:rPr>
          <w:rFonts w:hint="eastAsia" w:ascii="宋体" w:hAnsi="宋体" w:eastAsia="宋体" w:cs="宋体"/>
          <w:sz w:val="24"/>
          <w:szCs w:val="24"/>
        </w:rPr>
        <w:t>。</w:t>
      </w:r>
    </w:p>
    <w:p w14:paraId="2CD7971D">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交</w:t>
      </w:r>
      <w:r>
        <w:rPr>
          <w:rFonts w:ascii="宋体" w:hAnsi="宋体" w:eastAsia="宋体" w:cs="宋体"/>
          <w:sz w:val="24"/>
          <w:szCs w:val="24"/>
        </w:rPr>
        <w:t>货日期</w:t>
      </w:r>
      <w:r>
        <w:rPr>
          <w:rFonts w:hint="eastAsia" w:ascii="宋体" w:hAnsi="宋体" w:eastAsia="宋体" w:cs="宋体"/>
          <w:sz w:val="24"/>
          <w:szCs w:val="24"/>
        </w:rPr>
        <w:t>：</w:t>
      </w:r>
      <w:r>
        <w:rPr>
          <w:rFonts w:ascii="宋体" w:hAnsi="宋体" w:eastAsia="宋体" w:cs="宋体"/>
          <w:sz w:val="24"/>
          <w:szCs w:val="24"/>
        </w:rPr>
        <w:t>自合同签订之日起</w:t>
      </w:r>
      <w:r>
        <w:rPr>
          <w:rFonts w:hint="eastAsia" w:ascii="宋体" w:hAnsi="宋体" w:eastAsia="宋体" w:cs="宋体"/>
          <w:sz w:val="24"/>
          <w:szCs w:val="24"/>
          <w:u w:val="single"/>
        </w:rPr>
        <w:t xml:space="preserve">      </w:t>
      </w:r>
      <w:r>
        <w:rPr>
          <w:rFonts w:ascii="宋体" w:hAnsi="宋体" w:eastAsia="宋体" w:cs="宋体"/>
          <w:sz w:val="24"/>
          <w:szCs w:val="24"/>
        </w:rPr>
        <w:t>日内</w:t>
      </w:r>
      <w:r>
        <w:rPr>
          <w:rFonts w:hint="eastAsia" w:ascii="宋体" w:hAnsi="宋体" w:eastAsia="宋体" w:cs="宋体"/>
          <w:sz w:val="24"/>
          <w:szCs w:val="24"/>
        </w:rPr>
        <w:t>安装调试完毕。</w:t>
      </w:r>
    </w:p>
    <w:p w14:paraId="65CCF1CC">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 交货地点及方式：</w:t>
      </w:r>
      <w:r>
        <w:rPr>
          <w:rFonts w:ascii="宋体" w:hAnsi="宋体" w:eastAsia="宋体" w:cs="宋体"/>
          <w:sz w:val="24"/>
          <w:szCs w:val="24"/>
        </w:rPr>
        <w:t>乙方免费送货至甲方指定地点</w:t>
      </w:r>
      <w:r>
        <w:rPr>
          <w:rFonts w:hint="eastAsia" w:ascii="宋体" w:hAnsi="宋体" w:eastAsia="宋体" w:cs="宋体"/>
          <w:sz w:val="24"/>
          <w:szCs w:val="24"/>
        </w:rPr>
        <w:t>。</w:t>
      </w:r>
    </w:p>
    <w:p w14:paraId="02651D25">
      <w:pPr>
        <w:adjustRightInd w:val="0"/>
        <w:snapToGrid w:val="0"/>
        <w:spacing w:line="360" w:lineRule="auto"/>
        <w:rPr>
          <w:sz w:val="24"/>
          <w:szCs w:val="24"/>
          <w:u w:val="single"/>
        </w:rPr>
      </w:pPr>
      <w:r>
        <w:rPr>
          <w:rFonts w:hint="eastAsia" w:ascii="宋体" w:hAnsi="宋体" w:eastAsia="宋体" w:cs="宋体"/>
          <w:sz w:val="24"/>
          <w:szCs w:val="24"/>
        </w:rPr>
        <w:t xml:space="preserve">     交货详细地址：</w:t>
      </w:r>
      <w:r>
        <w:rPr>
          <w:rFonts w:hint="eastAsia" w:ascii="宋体" w:hAnsi="宋体" w:eastAsia="宋体" w:cs="宋体"/>
          <w:sz w:val="24"/>
          <w:szCs w:val="24"/>
          <w:u w:val="single"/>
        </w:rPr>
        <w:t xml:space="preserve">                                </w:t>
      </w:r>
    </w:p>
    <w:p w14:paraId="7C1BB57B">
      <w:pPr>
        <w:adjustRightInd w:val="0"/>
        <w:snapToGrid w:val="0"/>
        <w:spacing w:line="360" w:lineRule="auto"/>
        <w:rPr>
          <w:b/>
        </w:rPr>
      </w:pPr>
      <w:r>
        <w:rPr>
          <w:rFonts w:hint="eastAsia" w:ascii="宋体" w:hAnsi="宋体" w:eastAsia="宋体" w:cs="宋体"/>
          <w:sz w:val="24"/>
          <w:szCs w:val="24"/>
        </w:rPr>
        <w:t xml:space="preserve">    </w:t>
      </w:r>
      <w:r>
        <w:rPr>
          <w:rFonts w:hint="eastAsia"/>
          <w:b/>
          <w:sz w:val="24"/>
          <w:szCs w:val="24"/>
        </w:rPr>
        <w:t>四、验收期限、标准及方法</w:t>
      </w:r>
    </w:p>
    <w:p w14:paraId="4E0E33DC">
      <w:pPr>
        <w:adjustRightInd w:val="0"/>
        <w:snapToGrid w:val="0"/>
        <w:spacing w:line="360" w:lineRule="auto"/>
        <w:ind w:firstLine="480" w:firstLineChars="200"/>
        <w:rPr>
          <w:sz w:val="24"/>
          <w:szCs w:val="24"/>
        </w:rPr>
      </w:pPr>
      <w:r>
        <w:rPr>
          <w:rFonts w:hint="eastAsia"/>
          <w:sz w:val="24"/>
          <w:szCs w:val="24"/>
        </w:rPr>
        <w:t>1、乙方安装调试完毕后，书面提出申请，甲方于</w:t>
      </w:r>
      <w:r>
        <w:rPr>
          <w:rFonts w:hint="eastAsia"/>
          <w:sz w:val="24"/>
          <w:szCs w:val="24"/>
          <w:u w:val="single"/>
        </w:rPr>
        <w:t xml:space="preserve">           </w:t>
      </w:r>
      <w:r>
        <w:rPr>
          <w:rFonts w:hint="eastAsia"/>
          <w:sz w:val="24"/>
          <w:szCs w:val="24"/>
        </w:rPr>
        <w:t>日内组织验收。</w:t>
      </w:r>
    </w:p>
    <w:p w14:paraId="11E8595D">
      <w:pPr>
        <w:adjustRightInd w:val="0"/>
        <w:snapToGrid w:val="0"/>
        <w:spacing w:line="360" w:lineRule="auto"/>
        <w:rPr>
          <w:sz w:val="24"/>
          <w:szCs w:val="24"/>
        </w:rPr>
      </w:pPr>
      <w:r>
        <w:rPr>
          <w:rFonts w:hint="eastAsia"/>
          <w:sz w:val="24"/>
          <w:szCs w:val="24"/>
        </w:rPr>
        <w:t xml:space="preserve">    2. 验收须严格按照合同所列的技术参数及指标进行，</w:t>
      </w:r>
      <w:r>
        <w:rPr>
          <w:rFonts w:hint="eastAsia" w:ascii="宋体" w:hAnsi="宋体" w:eastAsia="宋体" w:cs="宋体"/>
          <w:sz w:val="24"/>
          <w:szCs w:val="24"/>
        </w:rPr>
        <w:t>合同内不明确的则以生产厂家提供的技术参数及指</w:t>
      </w:r>
      <w:r>
        <w:rPr>
          <w:rFonts w:ascii="宋体" w:hAnsi="宋体" w:eastAsia="宋体" w:cs="宋体"/>
          <w:sz w:val="24"/>
          <w:szCs w:val="24"/>
        </w:rPr>
        <w:t>标为准</w:t>
      </w:r>
      <w:r>
        <w:rPr>
          <w:rFonts w:hint="eastAsia" w:ascii="宋体" w:hAnsi="宋体" w:eastAsia="宋体" w:cs="宋体"/>
          <w:sz w:val="24"/>
          <w:szCs w:val="24"/>
        </w:rPr>
        <w:t>。</w:t>
      </w:r>
    </w:p>
    <w:p w14:paraId="19B9017B">
      <w:pPr>
        <w:adjustRightInd w:val="0"/>
        <w:snapToGrid w:val="0"/>
        <w:spacing w:line="360" w:lineRule="auto"/>
        <w:rPr>
          <w:sz w:val="24"/>
          <w:szCs w:val="24"/>
        </w:rPr>
      </w:pPr>
      <w:r>
        <w:rPr>
          <w:rFonts w:hint="eastAsia"/>
          <w:sz w:val="24"/>
          <w:szCs w:val="24"/>
        </w:rPr>
        <w:t xml:space="preserve">    3. 在所有软件安装、调试、培训及整体验收合格后，甲方出具相应的验收报告。</w:t>
      </w:r>
    </w:p>
    <w:p w14:paraId="697A841A">
      <w:pPr>
        <w:adjustRightInd w:val="0"/>
        <w:snapToGrid w:val="0"/>
        <w:spacing w:line="360" w:lineRule="auto"/>
        <w:rPr>
          <w:sz w:val="24"/>
          <w:szCs w:val="24"/>
        </w:rPr>
      </w:pPr>
      <w:r>
        <w:rPr>
          <w:rFonts w:hint="eastAsia"/>
          <w:sz w:val="24"/>
          <w:szCs w:val="24"/>
        </w:rPr>
        <w:t xml:space="preserve">    4. 验收不合格乙方负责修正，并负责由此而产生的费用，导致延期的，按照本合同第九条承担违约责任。</w:t>
      </w:r>
    </w:p>
    <w:p w14:paraId="1C2AD109">
      <w:pPr>
        <w:adjustRightInd w:val="0"/>
        <w:snapToGrid w:val="0"/>
        <w:spacing w:line="360" w:lineRule="auto"/>
        <w:ind w:left="40"/>
        <w:rPr>
          <w:b/>
          <w:sz w:val="24"/>
          <w:szCs w:val="24"/>
        </w:rPr>
      </w:pPr>
      <w:r>
        <w:rPr>
          <w:rFonts w:hint="eastAsia" w:ascii="宋体" w:hAnsi="宋体" w:eastAsia="宋体" w:cs="宋体"/>
          <w:b/>
          <w:sz w:val="24"/>
          <w:szCs w:val="24"/>
        </w:rPr>
        <w:t xml:space="preserve">    五</w:t>
      </w:r>
      <w:r>
        <w:rPr>
          <w:rFonts w:ascii="宋体" w:hAnsi="宋体" w:eastAsia="宋体" w:cs="宋体"/>
          <w:b/>
          <w:sz w:val="24"/>
          <w:szCs w:val="24"/>
        </w:rPr>
        <w:t>、</w:t>
      </w:r>
      <w:r>
        <w:rPr>
          <w:rFonts w:hint="eastAsia" w:ascii="宋体" w:hAnsi="宋体" w:eastAsia="宋体" w:cs="宋体"/>
          <w:b/>
          <w:sz w:val="24"/>
          <w:szCs w:val="24"/>
        </w:rPr>
        <w:t>履约保证金及</w:t>
      </w:r>
      <w:r>
        <w:rPr>
          <w:rFonts w:ascii="宋体" w:hAnsi="宋体" w:eastAsia="宋体" w:cs="宋体"/>
          <w:b/>
          <w:sz w:val="24"/>
          <w:szCs w:val="24"/>
        </w:rPr>
        <w:t>付款方式</w:t>
      </w:r>
    </w:p>
    <w:p w14:paraId="31A1F5DA">
      <w:pPr>
        <w:adjustRightInd w:val="0"/>
        <w:snapToGrid w:val="0"/>
        <w:spacing w:line="360" w:lineRule="auto"/>
        <w:ind w:firstLine="480" w:firstLineChars="200"/>
        <w:rPr>
          <w:rFonts w:ascii="宋体" w:hAnsi="宋体"/>
          <w:sz w:val="24"/>
        </w:rPr>
      </w:pPr>
      <w:r>
        <w:rPr>
          <w:rFonts w:hint="eastAsia"/>
          <w:sz w:val="24"/>
          <w:szCs w:val="24"/>
        </w:rPr>
        <w:t>1. 乙方向甲方交纳合同总金额的3</w:t>
      </w:r>
      <w:r>
        <w:rPr>
          <w:sz w:val="24"/>
          <w:szCs w:val="24"/>
        </w:rPr>
        <w:t>%</w:t>
      </w:r>
      <w:r>
        <w:rPr>
          <w:rFonts w:hint="eastAsia"/>
          <w:sz w:val="24"/>
          <w:szCs w:val="24"/>
        </w:rPr>
        <w:t>作为履约保证金，人民币（</w:t>
      </w:r>
      <w:r>
        <w:rPr>
          <w:rFonts w:hint="eastAsia" w:ascii="宋体" w:hAnsi="宋体"/>
          <w:sz w:val="24"/>
        </w:rPr>
        <w:t>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元）；如无违约行为，履约保证金自</w:t>
      </w:r>
      <w:r>
        <w:rPr>
          <w:rFonts w:ascii="宋体" w:hAnsi="宋体"/>
          <w:sz w:val="24"/>
        </w:rPr>
        <w:t>验收合格之日起</w:t>
      </w:r>
      <w:r>
        <w:rPr>
          <w:rFonts w:hint="eastAsia" w:ascii="宋体" w:hAnsi="宋体"/>
          <w:sz w:val="24"/>
        </w:rPr>
        <w:t>3</w:t>
      </w:r>
      <w:r>
        <w:rPr>
          <w:rFonts w:ascii="宋体" w:hAnsi="宋体"/>
          <w:sz w:val="24"/>
        </w:rPr>
        <w:t>0</w:t>
      </w:r>
      <w:r>
        <w:rPr>
          <w:rFonts w:hint="eastAsia" w:ascii="宋体" w:hAnsi="宋体"/>
          <w:sz w:val="24"/>
        </w:rPr>
        <w:t>日内无息退还。</w:t>
      </w:r>
    </w:p>
    <w:p w14:paraId="2D616CC9">
      <w:pPr>
        <w:adjustRightInd w:val="0"/>
        <w:snapToGrid w:val="0"/>
        <w:spacing w:line="360" w:lineRule="auto"/>
        <w:ind w:firstLine="480" w:firstLineChars="200"/>
        <w:rPr>
          <w:sz w:val="24"/>
          <w:szCs w:val="24"/>
        </w:rPr>
      </w:pPr>
      <w:r>
        <w:rPr>
          <w:rFonts w:hint="eastAsia"/>
          <w:sz w:val="24"/>
          <w:szCs w:val="24"/>
        </w:rPr>
        <w:t>2. 软件安装调试完成且</w:t>
      </w:r>
      <w:r>
        <w:rPr>
          <w:rFonts w:hint="eastAsia" w:ascii="宋体" w:hAnsi="宋体"/>
          <w:sz w:val="24"/>
        </w:rPr>
        <w:t>验收合格，乙方提供付款的相关手续并开具合规的增值税专用发票后30日内，甲方</w:t>
      </w:r>
      <w:r>
        <w:rPr>
          <w:rFonts w:ascii="宋体" w:hAnsi="宋体"/>
          <w:sz w:val="24"/>
        </w:rPr>
        <w:t>支付</w:t>
      </w:r>
      <w:r>
        <w:rPr>
          <w:rFonts w:hint="eastAsia" w:ascii="宋体" w:hAnsi="宋体"/>
          <w:sz w:val="24"/>
        </w:rPr>
        <w:t>项目款</w:t>
      </w:r>
      <w:r>
        <w:rPr>
          <w:rFonts w:ascii="宋体" w:hAnsi="宋体"/>
          <w:sz w:val="24"/>
        </w:rPr>
        <w:t>总额的</w:t>
      </w:r>
      <w:r>
        <w:rPr>
          <w:rFonts w:hint="eastAsia" w:ascii="宋体" w:hAnsi="宋体"/>
          <w:sz w:val="24"/>
        </w:rPr>
        <w:t>100</w:t>
      </w:r>
      <w:r>
        <w:rPr>
          <w:rFonts w:ascii="宋体" w:hAnsi="宋体"/>
          <w:sz w:val="24"/>
        </w:rPr>
        <w:t>%</w:t>
      </w:r>
      <w:r>
        <w:rPr>
          <w:rFonts w:hint="eastAsia" w:ascii="宋体" w:hAnsi="宋体"/>
          <w:sz w:val="24"/>
        </w:rPr>
        <w:t>。</w:t>
      </w:r>
    </w:p>
    <w:p w14:paraId="0D972487">
      <w:pPr>
        <w:adjustRightInd w:val="0"/>
        <w:snapToGrid w:val="0"/>
        <w:spacing w:line="360" w:lineRule="auto"/>
        <w:ind w:left="40" w:firstLine="480"/>
        <w:rPr>
          <w:rFonts w:ascii="宋体" w:hAnsi="宋体" w:eastAsia="宋体" w:cs="宋体"/>
          <w:b/>
          <w:sz w:val="24"/>
          <w:szCs w:val="24"/>
        </w:rPr>
      </w:pPr>
      <w:r>
        <w:rPr>
          <w:rFonts w:hint="eastAsia" w:ascii="宋体" w:hAnsi="宋体" w:eastAsia="宋体" w:cs="宋体"/>
          <w:b/>
          <w:sz w:val="24"/>
          <w:szCs w:val="24"/>
        </w:rPr>
        <w:t>六</w:t>
      </w:r>
      <w:r>
        <w:rPr>
          <w:rFonts w:ascii="宋体" w:hAnsi="宋体" w:eastAsia="宋体" w:cs="宋体"/>
          <w:b/>
          <w:sz w:val="24"/>
          <w:szCs w:val="24"/>
        </w:rPr>
        <w:t>、知识产权责任</w:t>
      </w:r>
    </w:p>
    <w:p w14:paraId="7A6109C9">
      <w:pPr>
        <w:adjustRightInd w:val="0"/>
        <w:snapToGrid w:val="0"/>
        <w:spacing w:line="360" w:lineRule="auto"/>
        <w:ind w:firstLine="480" w:firstLineChars="200"/>
        <w:rPr>
          <w:sz w:val="24"/>
          <w:szCs w:val="24"/>
        </w:rPr>
      </w:pPr>
      <w:r>
        <w:rPr>
          <w:rFonts w:hint="eastAsia"/>
          <w:sz w:val="24"/>
          <w:szCs w:val="24"/>
        </w:rPr>
        <w:t>1. 本合同下软件产品及与软件产品有关的源代码、目标代码、文档资料及其他任何乙方提供的产品、资料等的全部知识产权均归乙方所有，除本合同约定的软件产品许可使用权外，乙方未向甲方或最终用户授予、许可或转让软件产品的任何其他知识产权，包括但不限于：著作权、专利权、商标权、商业秘密及其他权利有关的任何权利。</w:t>
      </w:r>
    </w:p>
    <w:p w14:paraId="77C14D71">
      <w:pPr>
        <w:tabs>
          <w:tab w:val="left" w:pos="420"/>
        </w:tabs>
        <w:adjustRightInd w:val="0"/>
        <w:snapToGrid w:val="0"/>
        <w:spacing w:line="360" w:lineRule="auto"/>
        <w:ind w:firstLine="480" w:firstLineChars="200"/>
        <w:rPr>
          <w:sz w:val="24"/>
          <w:szCs w:val="24"/>
        </w:rPr>
      </w:pPr>
      <w:r>
        <w:rPr>
          <w:rFonts w:hint="eastAsia"/>
          <w:sz w:val="24"/>
          <w:szCs w:val="24"/>
        </w:rPr>
        <w:t>2. 软件产品仅限于在本合同约定范围内使用，未经乙方书面同意，甲方不得实施以下行为，否则由此给乙方造成的一切损失均由甲方承担，</w:t>
      </w:r>
      <w:bookmarkStart w:id="0" w:name="_Hlk504597093"/>
      <w:r>
        <w:rPr>
          <w:rFonts w:hint="eastAsia"/>
          <w:sz w:val="24"/>
          <w:szCs w:val="24"/>
        </w:rPr>
        <w:t>情节严重的，乙方有权向有关部门举报，进而追究甲方的违约责任：</w:t>
      </w:r>
      <w:bookmarkEnd w:id="0"/>
    </w:p>
    <w:p w14:paraId="4DC4D7C5">
      <w:pPr>
        <w:tabs>
          <w:tab w:val="left" w:pos="420"/>
        </w:tabs>
        <w:adjustRightInd w:val="0"/>
        <w:snapToGrid w:val="0"/>
        <w:spacing w:line="360" w:lineRule="auto"/>
        <w:ind w:firstLine="480" w:firstLineChars="200"/>
        <w:rPr>
          <w:sz w:val="24"/>
          <w:szCs w:val="24"/>
        </w:rPr>
      </w:pPr>
      <w:r>
        <w:rPr>
          <w:rFonts w:hint="eastAsia"/>
          <w:sz w:val="24"/>
          <w:szCs w:val="24"/>
        </w:rPr>
        <w:t>（1）将软件产品用于本合同约定使用范围以外的其他目的，包括但不限于将许可软件向任何第三方提供、销售、出租、出借、转让或提供分许可、转许可、通过信息网络传播或以其他形式供他人使用；</w:t>
      </w:r>
    </w:p>
    <w:p w14:paraId="139673D1">
      <w:pPr>
        <w:tabs>
          <w:tab w:val="left" w:pos="420"/>
        </w:tabs>
        <w:adjustRightInd w:val="0"/>
        <w:snapToGrid w:val="0"/>
        <w:spacing w:line="360" w:lineRule="auto"/>
        <w:ind w:firstLine="480" w:firstLineChars="200"/>
        <w:rPr>
          <w:sz w:val="24"/>
          <w:szCs w:val="24"/>
        </w:rPr>
      </w:pPr>
      <w:r>
        <w:rPr>
          <w:rFonts w:hint="eastAsia"/>
          <w:sz w:val="24"/>
          <w:szCs w:val="24"/>
        </w:rPr>
        <w:t>（2）对许可软件进行全部或部分翻译、分解、反向翻译、反汇编、反向工程或其他试图从许可软件导出程序源代码的行为，以及超出本合同约定的范围在许可软</w:t>
      </w:r>
    </w:p>
    <w:p w14:paraId="0DE5C4D6">
      <w:pPr>
        <w:tabs>
          <w:tab w:val="left" w:pos="420"/>
        </w:tabs>
        <w:adjustRightInd w:val="0"/>
        <w:snapToGrid w:val="0"/>
        <w:spacing w:line="360" w:lineRule="auto"/>
        <w:rPr>
          <w:sz w:val="24"/>
          <w:szCs w:val="24"/>
        </w:rPr>
      </w:pPr>
      <w:r>
        <w:rPr>
          <w:rFonts w:hint="eastAsia"/>
          <w:sz w:val="24"/>
          <w:szCs w:val="24"/>
        </w:rPr>
        <w:t>件的基础上书写或开发衍生软件、衍生产品或其他软件；</w:t>
      </w:r>
    </w:p>
    <w:p w14:paraId="42BD0A27">
      <w:pPr>
        <w:tabs>
          <w:tab w:val="left" w:pos="420"/>
        </w:tabs>
        <w:adjustRightInd w:val="0"/>
        <w:snapToGrid w:val="0"/>
        <w:spacing w:line="360" w:lineRule="auto"/>
        <w:ind w:firstLine="480" w:firstLineChars="200"/>
        <w:rPr>
          <w:sz w:val="24"/>
          <w:szCs w:val="24"/>
        </w:rPr>
      </w:pPr>
      <w:r>
        <w:rPr>
          <w:rFonts w:hint="eastAsia"/>
          <w:sz w:val="24"/>
          <w:szCs w:val="24"/>
        </w:rPr>
        <w:t>（3）限制、破坏或绕过许可软件附带的加密附件或乙方提供的其他确保许可软件正确使用的限制性措施。</w:t>
      </w:r>
    </w:p>
    <w:p w14:paraId="693B4DC9">
      <w:pPr>
        <w:adjustRightInd w:val="0"/>
        <w:snapToGrid w:val="0"/>
        <w:spacing w:line="360" w:lineRule="auto"/>
        <w:ind w:left="40" w:firstLine="120" w:firstLineChars="50"/>
        <w:rPr>
          <w:rFonts w:ascii="宋体" w:hAnsi="宋体" w:eastAsia="宋体" w:cs="宋体"/>
          <w:b/>
          <w:sz w:val="24"/>
          <w:szCs w:val="24"/>
        </w:rPr>
      </w:pPr>
      <w:r>
        <w:rPr>
          <w:rFonts w:hint="eastAsia" w:ascii="宋体" w:hAnsi="宋体" w:eastAsia="宋体" w:cs="宋体"/>
          <w:sz w:val="24"/>
          <w:szCs w:val="24"/>
        </w:rPr>
        <w:t xml:space="preserve">   </w:t>
      </w:r>
      <w:r>
        <w:rPr>
          <w:rFonts w:ascii="宋体" w:hAnsi="宋体" w:eastAsia="宋体" w:cs="宋体"/>
          <w:b/>
          <w:sz w:val="24"/>
          <w:szCs w:val="24"/>
        </w:rPr>
        <w:t>七、</w:t>
      </w:r>
      <w:r>
        <w:rPr>
          <w:rFonts w:hint="eastAsia" w:ascii="宋体" w:hAnsi="宋体" w:eastAsia="宋体" w:cs="宋体"/>
          <w:b/>
          <w:sz w:val="24"/>
          <w:szCs w:val="24"/>
        </w:rPr>
        <w:t>质保期及</w:t>
      </w:r>
      <w:r>
        <w:rPr>
          <w:rFonts w:ascii="宋体" w:hAnsi="宋体" w:eastAsia="宋体" w:cs="宋体"/>
          <w:b/>
          <w:sz w:val="24"/>
          <w:szCs w:val="24"/>
        </w:rPr>
        <w:t>售后服务</w:t>
      </w:r>
    </w:p>
    <w:p w14:paraId="23240D22">
      <w:pPr>
        <w:adjustRightInd w:val="0"/>
        <w:snapToGrid w:val="0"/>
        <w:spacing w:line="360" w:lineRule="auto"/>
        <w:ind w:left="40" w:firstLine="480" w:firstLineChars="200"/>
        <w:rPr>
          <w:rFonts w:ascii="宋体" w:hAnsi="宋体" w:eastAsia="宋体" w:cs="宋体"/>
          <w:sz w:val="24"/>
          <w:szCs w:val="24"/>
        </w:rPr>
      </w:pPr>
      <w:r>
        <w:rPr>
          <w:rFonts w:hint="eastAsia" w:ascii="宋体" w:hAnsi="宋体" w:eastAsia="宋体" w:cs="宋体"/>
          <w:sz w:val="24"/>
          <w:szCs w:val="24"/>
        </w:rPr>
        <w:t xml:space="preserve">1. </w:t>
      </w:r>
      <w:r>
        <w:rPr>
          <w:rFonts w:ascii="宋体" w:hAnsi="宋体" w:eastAsia="宋体" w:cs="宋体"/>
          <w:sz w:val="24"/>
          <w:szCs w:val="24"/>
        </w:rPr>
        <w:t>质保期为验收合格之日起</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ascii="宋体" w:hAnsi="宋体" w:eastAsia="宋体" w:cs="宋体"/>
          <w:sz w:val="24"/>
          <w:szCs w:val="24"/>
        </w:rPr>
        <w:t>,此期间如发生质量问题,乙方</w:t>
      </w:r>
      <w:r>
        <w:rPr>
          <w:rFonts w:hint="eastAsia" w:ascii="宋体" w:hAnsi="宋体" w:eastAsia="宋体" w:cs="宋体"/>
          <w:sz w:val="24"/>
          <w:szCs w:val="24"/>
        </w:rPr>
        <w:t>应负责免费更换，并赔偿相应</w:t>
      </w:r>
      <w:r>
        <w:rPr>
          <w:rFonts w:ascii="宋体" w:hAnsi="宋体" w:eastAsia="宋体" w:cs="宋体"/>
          <w:sz w:val="24"/>
          <w:szCs w:val="24"/>
        </w:rPr>
        <w:t>损失</w:t>
      </w:r>
      <w:r>
        <w:rPr>
          <w:rFonts w:hint="eastAsia" w:ascii="宋体" w:hAnsi="宋体" w:eastAsia="宋体" w:cs="宋体"/>
          <w:sz w:val="24"/>
          <w:szCs w:val="24"/>
        </w:rPr>
        <w:t>，</w:t>
      </w:r>
      <w:r>
        <w:rPr>
          <w:rFonts w:ascii="宋体" w:hAnsi="宋体" w:eastAsia="宋体" w:cs="宋体"/>
          <w:sz w:val="24"/>
          <w:szCs w:val="24"/>
        </w:rPr>
        <w:t>质保期延长为重新使用后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3918A785">
      <w:pPr>
        <w:adjustRightInd w:val="0"/>
        <w:snapToGrid w:val="0"/>
        <w:spacing w:line="360" w:lineRule="auto"/>
        <w:ind w:left="20"/>
        <w:rPr>
          <w:sz w:val="24"/>
          <w:szCs w:val="24"/>
        </w:rPr>
      </w:pPr>
      <w:r>
        <w:rPr>
          <w:rFonts w:hint="eastAsia" w:ascii="宋体" w:hAnsi="宋体" w:eastAsia="宋体" w:cs="宋体"/>
          <w:sz w:val="24"/>
          <w:szCs w:val="24"/>
        </w:rPr>
        <w:t xml:space="preserve">    2. </w:t>
      </w:r>
      <w:r>
        <w:rPr>
          <w:rFonts w:ascii="宋体" w:hAnsi="宋体" w:eastAsia="宋体" w:cs="宋体"/>
          <w:sz w:val="24"/>
          <w:szCs w:val="24"/>
        </w:rPr>
        <w:t>乙方在工作时间内随时为甲方以电话、传真、电子邮件方式免费</w:t>
      </w:r>
      <w:r>
        <w:rPr>
          <w:rFonts w:hint="eastAsia" w:ascii="宋体" w:hAnsi="宋体" w:eastAsia="宋体" w:cs="宋体"/>
          <w:sz w:val="24"/>
          <w:szCs w:val="24"/>
        </w:rPr>
        <w:t>提供所购买产品的服务与技术支持维护，</w:t>
      </w:r>
      <w:r>
        <w:rPr>
          <w:rFonts w:ascii="宋体" w:hAnsi="宋体" w:eastAsia="宋体" w:cs="宋体"/>
          <w:sz w:val="24"/>
          <w:szCs w:val="24"/>
        </w:rPr>
        <w:t>软件系统</w:t>
      </w:r>
      <w:r>
        <w:rPr>
          <w:rFonts w:hint="eastAsia" w:ascii="宋体" w:hAnsi="宋体" w:eastAsia="宋体" w:cs="宋体"/>
          <w:sz w:val="24"/>
          <w:szCs w:val="24"/>
        </w:rPr>
        <w:t>常见</w:t>
      </w:r>
      <w:r>
        <w:rPr>
          <w:rFonts w:ascii="宋体" w:hAnsi="宋体" w:eastAsia="宋体" w:cs="宋体"/>
          <w:sz w:val="24"/>
          <w:szCs w:val="24"/>
        </w:rPr>
        <w:t>故障</w:t>
      </w:r>
      <w:r>
        <w:rPr>
          <w:rFonts w:hint="eastAsia" w:ascii="宋体" w:hAnsi="宋体" w:eastAsia="宋体" w:cs="宋体"/>
          <w:sz w:val="24"/>
          <w:szCs w:val="24"/>
        </w:rPr>
        <w:t>应及时</w:t>
      </w:r>
      <w:r>
        <w:rPr>
          <w:rFonts w:ascii="宋体" w:hAnsi="宋体" w:eastAsia="宋体" w:cs="宋体"/>
          <w:sz w:val="24"/>
          <w:szCs w:val="24"/>
        </w:rPr>
        <w:t>解决</w:t>
      </w:r>
      <w:r>
        <w:rPr>
          <w:rFonts w:hint="eastAsia" w:ascii="宋体" w:hAnsi="宋体" w:eastAsia="宋体" w:cs="宋体"/>
          <w:sz w:val="24"/>
          <w:szCs w:val="24"/>
        </w:rPr>
        <w:t>。</w:t>
      </w:r>
    </w:p>
    <w:p w14:paraId="01DF6ED0">
      <w:pPr>
        <w:adjustRightInd w:val="0"/>
        <w:snapToGrid w:val="0"/>
        <w:spacing w:line="360" w:lineRule="auto"/>
        <w:rPr>
          <w:sz w:val="24"/>
          <w:szCs w:val="24"/>
        </w:rPr>
      </w:pPr>
      <w:r>
        <w:rPr>
          <w:rFonts w:hint="eastAsia" w:ascii="宋体" w:hAnsi="宋体" w:eastAsia="宋体" w:cs="宋体"/>
          <w:sz w:val="24"/>
          <w:szCs w:val="24"/>
        </w:rPr>
        <w:t xml:space="preserve">    3. </w:t>
      </w:r>
      <w:r>
        <w:rPr>
          <w:rFonts w:ascii="宋体" w:hAnsi="宋体" w:eastAsia="宋体" w:cs="宋体"/>
          <w:sz w:val="24"/>
          <w:szCs w:val="24"/>
        </w:rPr>
        <w:t>如遇软件升级</w:t>
      </w:r>
      <w:r>
        <w:rPr>
          <w:rFonts w:hint="eastAsia" w:ascii="宋体" w:hAnsi="宋体" w:eastAsia="宋体" w:cs="宋体"/>
          <w:sz w:val="24"/>
          <w:szCs w:val="24"/>
        </w:rPr>
        <w:t>，</w:t>
      </w:r>
      <w:r>
        <w:rPr>
          <w:rFonts w:ascii="宋体" w:hAnsi="宋体" w:eastAsia="宋体" w:cs="宋体"/>
          <w:sz w:val="24"/>
          <w:szCs w:val="24"/>
        </w:rPr>
        <w:t>乙方</w:t>
      </w:r>
      <w:r>
        <w:rPr>
          <w:rFonts w:hint="eastAsia" w:ascii="宋体" w:hAnsi="宋体" w:eastAsia="宋体" w:cs="宋体"/>
          <w:sz w:val="24"/>
          <w:szCs w:val="24"/>
        </w:rPr>
        <w:t>须</w:t>
      </w:r>
      <w:r>
        <w:rPr>
          <w:rFonts w:ascii="宋体" w:hAnsi="宋体" w:eastAsia="宋体" w:cs="宋体"/>
          <w:sz w:val="24"/>
          <w:szCs w:val="24"/>
        </w:rPr>
        <w:t>提供从合同签订开始</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ascii="宋体" w:hAnsi="宋体" w:eastAsia="宋体" w:cs="宋体"/>
          <w:sz w:val="24"/>
          <w:szCs w:val="24"/>
        </w:rPr>
        <w:t>内免费升级支持</w:t>
      </w:r>
      <w:r>
        <w:rPr>
          <w:rFonts w:hint="eastAsia" w:ascii="宋体" w:hAnsi="宋体" w:eastAsia="宋体" w:cs="宋体"/>
          <w:sz w:val="24"/>
          <w:szCs w:val="24"/>
        </w:rPr>
        <w:t>。</w:t>
      </w:r>
    </w:p>
    <w:p w14:paraId="73AADEB3">
      <w:pPr>
        <w:adjustRightInd w:val="0"/>
        <w:snapToGrid w:val="0"/>
        <w:spacing w:line="360" w:lineRule="auto"/>
        <w:ind w:left="80"/>
        <w:rPr>
          <w:rFonts w:ascii="宋体" w:hAnsi="宋体" w:eastAsia="宋体" w:cs="宋体"/>
          <w:sz w:val="24"/>
          <w:szCs w:val="24"/>
        </w:rPr>
      </w:pPr>
      <w:r>
        <w:rPr>
          <w:rFonts w:hint="eastAsia" w:ascii="宋体" w:hAnsi="宋体" w:eastAsia="宋体" w:cs="宋体"/>
          <w:sz w:val="24"/>
          <w:szCs w:val="24"/>
        </w:rPr>
        <w:t xml:space="preserve">   4. </w:t>
      </w:r>
      <w:r>
        <w:rPr>
          <w:rFonts w:ascii="宋体" w:hAnsi="宋体" w:eastAsia="宋体" w:cs="宋体"/>
          <w:sz w:val="24"/>
          <w:szCs w:val="24"/>
        </w:rPr>
        <w:t>自</w:t>
      </w:r>
      <w:r>
        <w:rPr>
          <w:rFonts w:hint="eastAsia" w:ascii="宋体" w:hAnsi="宋体" w:eastAsia="宋体" w:cs="宋体"/>
          <w:sz w:val="24"/>
          <w:szCs w:val="24"/>
        </w:rPr>
        <w:t>验收合格并开始使用</w:t>
      </w:r>
      <w:r>
        <w:rPr>
          <w:rFonts w:ascii="宋体" w:hAnsi="宋体" w:eastAsia="宋体" w:cs="宋体"/>
          <w:sz w:val="24"/>
          <w:szCs w:val="24"/>
        </w:rPr>
        <w:t>之日起</w:t>
      </w:r>
      <w:r>
        <w:rPr>
          <w:rFonts w:hint="eastAsia" w:ascii="宋体" w:hAnsi="宋体" w:eastAsia="宋体" w:cs="宋体"/>
          <w:sz w:val="24"/>
          <w:szCs w:val="24"/>
          <w:u w:val="single"/>
        </w:rPr>
        <w:t xml:space="preserve">    </w:t>
      </w:r>
      <w:r>
        <w:rPr>
          <w:rFonts w:ascii="宋体" w:hAnsi="宋体" w:eastAsia="宋体" w:cs="宋体"/>
          <w:sz w:val="24"/>
          <w:szCs w:val="24"/>
        </w:rPr>
        <w:t>天内,如遇甲方要求的不影响软件产品界面</w:t>
      </w:r>
      <w:r>
        <w:rPr>
          <w:rFonts w:hint="eastAsia" w:ascii="宋体" w:hAnsi="宋体" w:eastAsia="宋体" w:cs="宋体"/>
          <w:sz w:val="24"/>
          <w:szCs w:val="24"/>
        </w:rPr>
        <w:t>统一性、通用性而作的必要的更改，</w:t>
      </w:r>
      <w:r>
        <w:rPr>
          <w:rFonts w:ascii="宋体" w:hAnsi="宋体" w:eastAsia="宋体" w:cs="宋体"/>
          <w:sz w:val="24"/>
          <w:szCs w:val="24"/>
        </w:rPr>
        <w:t>乙方免费提供修改支持</w:t>
      </w:r>
      <w:r>
        <w:rPr>
          <w:rFonts w:hint="eastAsia" w:ascii="宋体" w:hAnsi="宋体" w:eastAsia="宋体" w:cs="宋体"/>
          <w:sz w:val="24"/>
          <w:szCs w:val="24"/>
        </w:rPr>
        <w:t>。</w:t>
      </w:r>
    </w:p>
    <w:p w14:paraId="7D2E819F">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5. </w:t>
      </w:r>
      <w:r>
        <w:rPr>
          <w:rFonts w:ascii="宋体" w:hAnsi="宋体" w:eastAsia="宋体" w:cs="宋体"/>
          <w:sz w:val="24"/>
          <w:szCs w:val="24"/>
        </w:rPr>
        <w:t>乙方对系统提供终身技术支持</w:t>
      </w:r>
      <w:r>
        <w:rPr>
          <w:rFonts w:hint="eastAsia" w:ascii="宋体" w:hAnsi="宋体" w:eastAsia="宋体" w:cs="宋体"/>
          <w:sz w:val="24"/>
          <w:szCs w:val="24"/>
        </w:rPr>
        <w:t>。</w:t>
      </w:r>
    </w:p>
    <w:p w14:paraId="7C2FA69F">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w:t>
      </w:r>
      <w:r>
        <w:rPr>
          <w:rFonts w:ascii="宋体" w:hAnsi="宋体" w:eastAsia="宋体" w:cs="宋体"/>
          <w:sz w:val="24"/>
          <w:szCs w:val="24"/>
        </w:rPr>
        <w:t>、乙方</w:t>
      </w:r>
      <w:r>
        <w:rPr>
          <w:rFonts w:hint="eastAsia" w:ascii="宋体" w:hAnsi="宋体" w:eastAsia="宋体" w:cs="宋体"/>
          <w:sz w:val="24"/>
          <w:szCs w:val="24"/>
        </w:rPr>
        <w:t>须免费</w:t>
      </w:r>
      <w:r>
        <w:rPr>
          <w:rFonts w:ascii="宋体" w:hAnsi="宋体" w:eastAsia="宋体" w:cs="宋体"/>
          <w:sz w:val="24"/>
          <w:szCs w:val="24"/>
        </w:rPr>
        <w:t>对甲方操作人员</w:t>
      </w:r>
      <w:r>
        <w:rPr>
          <w:rFonts w:hint="eastAsia" w:ascii="宋体" w:hAnsi="宋体" w:eastAsia="宋体" w:cs="宋体"/>
          <w:sz w:val="24"/>
          <w:szCs w:val="24"/>
        </w:rPr>
        <w:t>进行软件培训。</w:t>
      </w:r>
    </w:p>
    <w:p w14:paraId="4B181753">
      <w:pPr>
        <w:adjustRightInd w:val="0"/>
        <w:snapToGrid w:val="0"/>
        <w:spacing w:line="360" w:lineRule="auto"/>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八、合同的履行、变更和解除</w:t>
      </w:r>
    </w:p>
    <w:p w14:paraId="7643A4D7">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 合同签订后即具法律效力，甲乙双方均须认真履行，不得随意解除合同。</w:t>
      </w:r>
    </w:p>
    <w:p w14:paraId="1C17B635">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 甲乙双方不得擅自变更合同。如因项目需要变更，须经双方书面认可后方可变更。</w:t>
      </w:r>
    </w:p>
    <w:p w14:paraId="54B5CA85">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3. 发生以下情况，经甲方通知乙方未及时整改的，甲方有权解除合同：</w:t>
      </w:r>
    </w:p>
    <w:p w14:paraId="5D274427">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（1）乙方拒绝接受甲方的管理；</w:t>
      </w:r>
    </w:p>
    <w:p w14:paraId="466E8554">
      <w:pPr>
        <w:adjustRightInd w:val="0"/>
        <w:snapToGrid w:val="0"/>
        <w:spacing w:line="360" w:lineRule="auto"/>
        <w:rPr>
          <w:rFonts w:asciiTheme="majorEastAsia" w:hAnsiTheme="majorEastAsia" w:eastAsiaTheme="majorEastAsia"/>
          <w:sz w:val="24"/>
        </w:rPr>
      </w:pPr>
      <w:r>
        <w:rPr>
          <w:rFonts w:hint="eastAsia" w:asciiTheme="majorEastAsia" w:hAnsiTheme="majorEastAsia" w:eastAsiaTheme="majorEastAsia"/>
          <w:sz w:val="24"/>
        </w:rPr>
        <w:t xml:space="preserve">    （2）合同执行期间，乙方因自身问题不能正常供货，致使供货期严重延误；</w:t>
      </w:r>
    </w:p>
    <w:p w14:paraId="18FDB658">
      <w:pPr>
        <w:adjustRightInd w:val="0"/>
        <w:snapToGrid w:val="0"/>
        <w:spacing w:line="360" w:lineRule="auto"/>
        <w:ind w:firstLine="480" w:firstLineChars="200"/>
        <w:rPr>
          <w:sz w:val="24"/>
        </w:rPr>
      </w:pPr>
      <w:r>
        <w:rPr>
          <w:rFonts w:hint="eastAsia" w:asciiTheme="majorEastAsia" w:hAnsiTheme="majorEastAsia" w:eastAsiaTheme="majorEastAsia"/>
          <w:sz w:val="24"/>
        </w:rPr>
        <w:t>（3）所供软件（设备）不符合</w:t>
      </w:r>
      <w:r>
        <w:rPr>
          <w:rFonts w:hint="eastAsia"/>
          <w:sz w:val="24"/>
        </w:rPr>
        <w:t>招标（采购）、投标（响应性）文件、本合同附件技术规格书（或其他采购依据）。</w:t>
      </w:r>
    </w:p>
    <w:p w14:paraId="584904BD">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（4）所供软件（设备）不符合验收标准；</w:t>
      </w:r>
    </w:p>
    <w:p w14:paraId="0447BE66">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（5）法律规定的其他情形。</w:t>
      </w:r>
    </w:p>
    <w:p w14:paraId="496D12F7">
      <w:pPr>
        <w:adjustRightInd w:val="0"/>
        <w:snapToGrid w:val="0"/>
        <w:spacing w:line="360" w:lineRule="auto"/>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九、违约责任</w:t>
      </w:r>
    </w:p>
    <w:p w14:paraId="32CF1BC0">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w:t>
      </w:r>
      <w:r>
        <w:rPr>
          <w:rFonts w:asciiTheme="majorEastAsia" w:hAnsiTheme="majorEastAsia" w:eastAsiaTheme="majorEastAsia"/>
          <w:sz w:val="24"/>
        </w:rPr>
        <w:t xml:space="preserve"> </w:t>
      </w:r>
      <w:r>
        <w:rPr>
          <w:rFonts w:hint="eastAsia" w:asciiTheme="majorEastAsia" w:hAnsiTheme="majorEastAsia" w:eastAsiaTheme="majorEastAsia"/>
          <w:sz w:val="24"/>
        </w:rPr>
        <w:t>除如因战争，严重水灾、台风、地震等自然灾害，政府政策的重大变动等政府行为和其它甲乙双方认可的不可抗力事件外，甲乙双方不得随意解除合同，否则按违约处理。</w:t>
      </w:r>
    </w:p>
    <w:p w14:paraId="4E685F01">
      <w:pPr>
        <w:adjustRightInd w:val="0"/>
        <w:snapToGrid w:val="0"/>
        <w:spacing w:line="360" w:lineRule="auto"/>
        <w:ind w:firstLine="480" w:firstLineChars="200"/>
        <w:rPr>
          <w:rFonts w:ascii="宋体" w:hAnsi="宋体"/>
          <w:sz w:val="24"/>
        </w:rPr>
      </w:pPr>
      <w:r>
        <w:rPr>
          <w:rFonts w:hint="eastAsia" w:asciiTheme="majorEastAsia" w:hAnsiTheme="majorEastAsia" w:eastAsiaTheme="majorEastAsia"/>
          <w:sz w:val="24"/>
        </w:rPr>
        <w:t>2.</w:t>
      </w:r>
      <w:r>
        <w:rPr>
          <w:rFonts w:asciiTheme="majorEastAsia" w:hAnsiTheme="majorEastAsia" w:eastAsiaTheme="majorEastAsia"/>
          <w:sz w:val="24"/>
        </w:rPr>
        <w:t xml:space="preserve"> </w:t>
      </w:r>
      <w:r>
        <w:rPr>
          <w:rFonts w:hint="eastAsia" w:asciiTheme="majorEastAsia" w:hAnsiTheme="majorEastAsia" w:eastAsiaTheme="majorEastAsia"/>
          <w:sz w:val="24"/>
        </w:rPr>
        <w:t>若乙方所供软件（设备）技术标准、质量标准和运行等，</w:t>
      </w:r>
      <w:r>
        <w:rPr>
          <w:rFonts w:hint="eastAsia" w:ascii="宋体" w:hAnsi="宋体"/>
          <w:sz w:val="24"/>
        </w:rPr>
        <w:t>不符合招标（采购）、投标（响应性）文件（或采购依据）规定和合同规定的，乙方应负责更换并承担因此而发生的一切费用，如无法更换或更换后仍不符合约定的，甲方有权拒绝接收并追究乙方违约责任，同时乙方应支付合同价款的30%的违约金。因乙方更换而造成逾期交货，则按逾期交货处理。</w:t>
      </w:r>
    </w:p>
    <w:p w14:paraId="1511836E">
      <w:pPr>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乙方不能按时供货，除不可抗力事件外，每拖延一日应按合同总额的千分之五向甲方支付违约金。</w:t>
      </w:r>
    </w:p>
    <w:p w14:paraId="5BEBD32C">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 xml:space="preserve"> </w:t>
      </w:r>
      <w:r>
        <w:rPr>
          <w:rFonts w:hint="eastAsia" w:ascii="宋体" w:hAnsi="宋体"/>
          <w:sz w:val="24"/>
        </w:rPr>
        <w:t>乙方逾期</w:t>
      </w:r>
      <w:r>
        <w:rPr>
          <w:rFonts w:hint="eastAsia" w:ascii="宋体" w:hAnsi="宋体"/>
          <w:sz w:val="24"/>
          <w:u w:val="single"/>
        </w:rPr>
        <w:t>三周</w:t>
      </w:r>
      <w:r>
        <w:rPr>
          <w:rFonts w:hint="eastAsia" w:ascii="宋体" w:hAnsi="宋体"/>
          <w:sz w:val="24"/>
        </w:rPr>
        <w:t>不能供货，甲方有权解除合同，并要求乙方支付合同金额</w:t>
      </w:r>
      <w:r>
        <w:rPr>
          <w:rFonts w:ascii="宋体" w:hAnsi="宋体"/>
          <w:sz w:val="24"/>
        </w:rPr>
        <w:t>3</w:t>
      </w:r>
      <w:r>
        <w:rPr>
          <w:rFonts w:hint="eastAsia" w:ascii="宋体" w:hAnsi="宋体"/>
          <w:sz w:val="24"/>
        </w:rPr>
        <w:t>0%的违约金，同时追究乙方责任。</w:t>
      </w:r>
    </w:p>
    <w:p w14:paraId="01113261">
      <w:pPr>
        <w:pStyle w:val="11"/>
        <w:adjustRightInd w:val="0"/>
        <w:snapToGrid w:val="0"/>
        <w:spacing w:line="360" w:lineRule="auto"/>
        <w:ind w:firstLine="360" w:firstLineChars="150"/>
        <w:rPr>
          <w:rFonts w:ascii="宋体" w:hAnsi="宋体"/>
          <w:sz w:val="24"/>
        </w:rPr>
      </w:pPr>
      <w:r>
        <w:rPr>
          <w:rFonts w:hint="eastAsia" w:ascii="宋体" w:hAnsi="宋体"/>
          <w:sz w:val="24"/>
        </w:rPr>
        <w:t xml:space="preserve"> 5.</w:t>
      </w:r>
      <w:r>
        <w:rPr>
          <w:rFonts w:ascii="宋体" w:hAnsi="宋体"/>
          <w:sz w:val="24"/>
        </w:rPr>
        <w:t xml:space="preserve"> </w:t>
      </w:r>
      <w:r>
        <w:rPr>
          <w:rFonts w:hint="eastAsia" w:ascii="宋体" w:hAnsi="宋体"/>
          <w:sz w:val="24"/>
        </w:rPr>
        <w:t>当违约金超过履约保证金时，超过部分甲方有权从合同总价款中扣除或要求乙方另行支付，用于补偿违约金不足的部分。</w:t>
      </w:r>
    </w:p>
    <w:p w14:paraId="0BC65C3A">
      <w:pPr>
        <w:adjustRightInd w:val="0"/>
        <w:snapToGrid w:val="0"/>
        <w:spacing w:line="360" w:lineRule="auto"/>
        <w:ind w:firstLine="480" w:firstLineChars="200"/>
        <w:rPr>
          <w:rFonts w:ascii="宋体" w:hAnsi="宋体"/>
          <w:sz w:val="24"/>
        </w:rPr>
      </w:pPr>
      <w:r>
        <w:rPr>
          <w:rFonts w:hint="eastAsia" w:ascii="宋体" w:hAnsi="宋体"/>
          <w:sz w:val="24"/>
        </w:rPr>
        <w:t>6.</w:t>
      </w:r>
      <w:r>
        <w:rPr>
          <w:rFonts w:ascii="宋体" w:hAnsi="宋体"/>
          <w:sz w:val="24"/>
        </w:rPr>
        <w:t xml:space="preserve"> </w:t>
      </w:r>
      <w:r>
        <w:rPr>
          <w:rFonts w:hint="eastAsia" w:ascii="宋体" w:hAnsi="宋体"/>
          <w:sz w:val="24"/>
        </w:rPr>
        <w:t>项目验收合格后，非乙方原因甲方未按期支付货款的，应按银行同期贷款利息补偿乙方损失。</w:t>
      </w:r>
    </w:p>
    <w:p w14:paraId="53CCDE42">
      <w:pPr>
        <w:pStyle w:val="11"/>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 xml:space="preserve">. </w:t>
      </w:r>
      <w:r>
        <w:rPr>
          <w:rFonts w:hint="eastAsia" w:ascii="宋体" w:hAnsi="宋体"/>
          <w:sz w:val="24"/>
        </w:rPr>
        <w:t>乙方在软件（设备）安装运行过程中，甲方发现乙方所供</w:t>
      </w:r>
      <w:r>
        <w:rPr>
          <w:rFonts w:hint="eastAsia" w:asciiTheme="majorEastAsia" w:hAnsiTheme="majorEastAsia" w:eastAsiaTheme="majorEastAsia"/>
          <w:sz w:val="24"/>
        </w:rPr>
        <w:t>软件（设备）</w:t>
      </w:r>
      <w:r>
        <w:rPr>
          <w:rFonts w:hint="eastAsia" w:ascii="宋体" w:hAnsi="宋体"/>
          <w:sz w:val="24"/>
        </w:rPr>
        <w:t>等不符合合同约定，甲方有权对乙方进行每次不低于10000元的违约金处罚，并有权单方解除合同，由此产生的一切费用由乙方承担。</w:t>
      </w:r>
    </w:p>
    <w:p w14:paraId="7577705D">
      <w:pPr>
        <w:adjustRightInd w:val="0"/>
        <w:snapToGrid w:val="0"/>
        <w:spacing w:line="360" w:lineRule="auto"/>
        <w:ind w:firstLine="480" w:firstLineChars="200"/>
        <w:rPr>
          <w:rFonts w:ascii="宋体" w:hAnsi="宋体"/>
          <w:sz w:val="24"/>
        </w:rPr>
      </w:pPr>
      <w:r>
        <w:rPr>
          <w:rFonts w:hint="eastAsia" w:ascii="宋体" w:hAnsi="宋体"/>
          <w:sz w:val="24"/>
        </w:rPr>
        <w:t>8.</w:t>
      </w:r>
      <w:r>
        <w:rPr>
          <w:rFonts w:ascii="宋体" w:hAnsi="宋体"/>
          <w:sz w:val="24"/>
        </w:rPr>
        <w:t xml:space="preserve"> </w:t>
      </w:r>
      <w:r>
        <w:rPr>
          <w:rFonts w:hint="eastAsia" w:ascii="宋体" w:hAnsi="宋体"/>
          <w:sz w:val="24"/>
        </w:rPr>
        <w:t>本软件（设备）的免费质保期为</w:t>
      </w:r>
      <w:r>
        <w:rPr>
          <w:rFonts w:hint="eastAsia" w:ascii="宋体" w:hAnsi="宋体"/>
          <w:sz w:val="24"/>
          <w:u w:val="single"/>
        </w:rPr>
        <w:t xml:space="preserve">    </w:t>
      </w:r>
      <w:r>
        <w:rPr>
          <w:rFonts w:hint="eastAsia" w:ascii="宋体" w:hAnsi="宋体"/>
          <w:sz w:val="24"/>
        </w:rPr>
        <w:t>年，如乙方违反《售后服务承诺》约定未及时履行保修义务的，每发生一次，乙方应向甲方支付违约金10000元。甲方因乙方违约而委托第三方进行维修所产生的相应维修费用，甲方有权要求乙方另行支付。</w:t>
      </w:r>
    </w:p>
    <w:p w14:paraId="19D19375">
      <w:pPr>
        <w:adjustRightInd w:val="0"/>
        <w:snapToGrid w:val="0"/>
        <w:spacing w:line="360" w:lineRule="auto"/>
        <w:ind w:firstLine="480" w:firstLineChars="200"/>
        <w:rPr>
          <w:rFonts w:hint="eastAsia" w:ascii="宋体" w:hAnsi="宋体"/>
          <w:sz w:val="24"/>
        </w:rPr>
      </w:pPr>
      <w:r>
        <w:rPr>
          <w:rFonts w:hint="eastAsia" w:ascii="宋体" w:hAnsi="宋体"/>
          <w:sz w:val="24"/>
        </w:rPr>
        <w:t>9.</w:t>
      </w:r>
      <w:r>
        <w:rPr>
          <w:rFonts w:ascii="宋体" w:hAnsi="宋体"/>
          <w:sz w:val="24"/>
        </w:rPr>
        <w:t xml:space="preserve"> </w:t>
      </w:r>
      <w:r>
        <w:rPr>
          <w:rFonts w:hint="eastAsia" w:ascii="宋体" w:hAnsi="宋体"/>
          <w:sz w:val="24"/>
        </w:rPr>
        <w:t>在合同履约期内，若乙方出现违约行为，将不予退还履约保证金。履约保证金被扣除后余额不足的，乙方须在3天内补足。</w:t>
      </w:r>
    </w:p>
    <w:p w14:paraId="118A2F5A">
      <w:pPr>
        <w:shd w:val="clear"/>
        <w:spacing w:line="360" w:lineRule="auto"/>
        <w:ind w:firstLine="482" w:firstLineChars="200"/>
        <w:rPr>
          <w:rFonts w:hint="eastAsia" w:asciiTheme="majorEastAsia" w:hAnsiTheme="majorEastAsia" w:eastAsiaTheme="majorEastAsia"/>
          <w:b/>
          <w:color w:val="auto"/>
          <w:sz w:val="24"/>
          <w:lang w:val="en-US" w:eastAsia="zh-CN"/>
        </w:rPr>
      </w:pPr>
      <w:r>
        <w:rPr>
          <w:rFonts w:hint="eastAsia" w:asciiTheme="majorEastAsia" w:hAnsiTheme="majorEastAsia" w:eastAsiaTheme="majorEastAsia"/>
          <w:b/>
          <w:color w:val="auto"/>
          <w:sz w:val="24"/>
          <w:lang w:val="en-US" w:eastAsia="zh-CN"/>
        </w:rPr>
        <w:t>十、合同无效</w:t>
      </w:r>
    </w:p>
    <w:p w14:paraId="50995029">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乙方有下列情形之一的，合同无效，履约保证金不予退还：</w:t>
      </w:r>
    </w:p>
    <w:p w14:paraId="00241A7B">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1</w:t>
      </w:r>
      <w:r>
        <w:rPr>
          <w:rFonts w:hint="default" w:asciiTheme="majorEastAsia" w:hAnsiTheme="majorEastAsia" w:eastAsiaTheme="majorEastAsia"/>
          <w:color w:val="auto"/>
          <w:sz w:val="24"/>
          <w:lang w:val="en-US" w:eastAsia="zh-CN"/>
        </w:rPr>
        <w:t>）提供虚假材料谋取中标、成交的；</w:t>
      </w:r>
    </w:p>
    <w:p w14:paraId="138209C3">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2</w:t>
      </w:r>
      <w:r>
        <w:rPr>
          <w:rFonts w:hint="default" w:asciiTheme="majorEastAsia" w:hAnsiTheme="majorEastAsia" w:eastAsiaTheme="majorEastAsia"/>
          <w:color w:val="auto"/>
          <w:sz w:val="24"/>
          <w:lang w:val="en-US" w:eastAsia="zh-CN"/>
        </w:rPr>
        <w:t>）采取不正当手段诋毁、排挤其他供应商的；</w:t>
      </w:r>
    </w:p>
    <w:p w14:paraId="0FD23569">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3</w:t>
      </w:r>
      <w:r>
        <w:rPr>
          <w:rFonts w:hint="default" w:asciiTheme="majorEastAsia" w:hAnsiTheme="majorEastAsia" w:eastAsiaTheme="majorEastAsia"/>
          <w:color w:val="auto"/>
          <w:sz w:val="24"/>
          <w:lang w:val="en-US" w:eastAsia="zh-CN"/>
        </w:rPr>
        <w:t>）与采购人、其他供应商或者采购代理机构恶意串通的；</w:t>
      </w:r>
    </w:p>
    <w:p w14:paraId="36D8FDB5">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4</w:t>
      </w:r>
      <w:r>
        <w:rPr>
          <w:rFonts w:hint="default" w:asciiTheme="majorEastAsia" w:hAnsiTheme="majorEastAsia" w:eastAsiaTheme="majorEastAsia"/>
          <w:color w:val="auto"/>
          <w:sz w:val="24"/>
          <w:lang w:val="en-US" w:eastAsia="zh-CN"/>
        </w:rPr>
        <w:t>）向采购人、采购代理机构行贿或者提供其他不正当利益的；</w:t>
      </w:r>
    </w:p>
    <w:p w14:paraId="4DE8D654">
      <w:pPr>
        <w:shd w:val="clear"/>
        <w:spacing w:line="360" w:lineRule="auto"/>
        <w:ind w:firstLine="480" w:firstLineChars="200"/>
        <w:rPr>
          <w:rFonts w:hint="eastAsia" w:ascii="宋体" w:hAnsi="宋体"/>
          <w:sz w:val="24"/>
        </w:rPr>
      </w:pPr>
      <w:r>
        <w:rPr>
          <w:rFonts w:hint="eastAsia" w:asciiTheme="majorEastAsia" w:hAnsiTheme="majorEastAsia" w:eastAsiaTheme="majorEastAsia"/>
          <w:color w:val="auto"/>
          <w:sz w:val="24"/>
          <w:lang w:val="en-US" w:eastAsia="zh-CN"/>
        </w:rPr>
        <w:t>（5）法律规定的其他情形。</w:t>
      </w:r>
      <w:bookmarkStart w:id="1" w:name="_GoBack"/>
      <w:bookmarkEnd w:id="1"/>
    </w:p>
    <w:p w14:paraId="021E94FA">
      <w:pPr>
        <w:adjustRightInd w:val="0"/>
        <w:snapToGrid w:val="0"/>
        <w:spacing w:line="360" w:lineRule="auto"/>
        <w:rPr>
          <w:rFonts w:ascii="宋体" w:hAnsi="宋体"/>
          <w:b/>
          <w:sz w:val="24"/>
        </w:rPr>
      </w:pPr>
      <w:r>
        <w:rPr>
          <w:rFonts w:hint="eastAsia" w:ascii="宋体" w:hAnsi="宋体"/>
          <w:b/>
          <w:sz w:val="24"/>
        </w:rPr>
        <w:t xml:space="preserve">    十</w:t>
      </w:r>
      <w:r>
        <w:rPr>
          <w:rFonts w:hint="eastAsia" w:ascii="宋体" w:hAnsi="宋体"/>
          <w:b/>
          <w:sz w:val="24"/>
          <w:lang w:val="en-US" w:eastAsia="zh-CN"/>
        </w:rPr>
        <w:t>一</w:t>
      </w:r>
      <w:r>
        <w:rPr>
          <w:rFonts w:hint="eastAsia" w:ascii="宋体" w:hAnsi="宋体"/>
          <w:b/>
          <w:sz w:val="24"/>
        </w:rPr>
        <w:t>、争议解决</w:t>
      </w:r>
    </w:p>
    <w:p w14:paraId="6A45F197">
      <w:pPr>
        <w:adjustRightInd w:val="0"/>
        <w:snapToGrid w:val="0"/>
        <w:spacing w:line="360" w:lineRule="auto"/>
        <w:ind w:firstLine="480" w:firstLineChars="200"/>
        <w:rPr>
          <w:rFonts w:ascii="宋体" w:hAnsi="宋体"/>
          <w:sz w:val="24"/>
        </w:rPr>
      </w:pPr>
      <w:r>
        <w:rPr>
          <w:rFonts w:hint="eastAsia" w:ascii="宋体" w:hAnsi="宋体"/>
          <w:sz w:val="24"/>
        </w:rPr>
        <w:t>本合同的签订和履行，适用中华人民共和国法律。</w:t>
      </w:r>
    </w:p>
    <w:p w14:paraId="18522599">
      <w:pPr>
        <w:adjustRightInd w:val="0"/>
        <w:snapToGrid w:val="0"/>
        <w:spacing w:line="360" w:lineRule="auto"/>
        <w:ind w:firstLine="480" w:firstLineChars="200"/>
        <w:rPr>
          <w:rFonts w:ascii="宋体" w:hAnsi="宋体"/>
          <w:sz w:val="24"/>
        </w:rPr>
      </w:pPr>
      <w:r>
        <w:rPr>
          <w:rFonts w:hint="eastAsia" w:ascii="宋体" w:hAnsi="宋体"/>
          <w:sz w:val="24"/>
        </w:rPr>
        <w:t>甲乙双方因质量问题发生争议，可由合同签署地点质量技术鉴定单位进行质量鉴定。经鉴定质量合格，鉴定费由甲方承担；鉴定质量不合格，鉴定费用由乙方承担，并承担违约责任，同时甲方有权解除合同。任何一方也可直接向人民法院起诉。</w:t>
      </w:r>
    </w:p>
    <w:p w14:paraId="22790CBD">
      <w:pPr>
        <w:adjustRightInd w:val="0"/>
        <w:snapToGrid w:val="0"/>
        <w:spacing w:line="360" w:lineRule="auto"/>
        <w:ind w:firstLine="480" w:firstLineChars="200"/>
        <w:rPr>
          <w:rFonts w:ascii="宋体" w:hAnsi="宋体"/>
          <w:sz w:val="24"/>
        </w:rPr>
      </w:pPr>
      <w:r>
        <w:rPr>
          <w:rFonts w:hint="eastAsia" w:ascii="宋体" w:hAnsi="宋体"/>
          <w:sz w:val="24"/>
        </w:rPr>
        <w:t>因履行合同发生的争议，由甲乙双方直接协商解决，如协商不成可向合同签署地点的人民法院诉讼。</w:t>
      </w:r>
    </w:p>
    <w:p w14:paraId="18EA844E">
      <w:pPr>
        <w:adjustRightInd w:val="0"/>
        <w:snapToGrid w:val="0"/>
        <w:spacing w:line="360" w:lineRule="auto"/>
        <w:ind w:firstLine="480" w:firstLineChars="200"/>
        <w:rPr>
          <w:rFonts w:ascii="宋体" w:hAnsi="宋体"/>
          <w:sz w:val="24"/>
          <w:szCs w:val="24"/>
        </w:rPr>
      </w:pPr>
      <w:r>
        <w:rPr>
          <w:rFonts w:hint="eastAsia" w:ascii="宋体" w:hAnsi="宋体"/>
          <w:sz w:val="24"/>
          <w:szCs w:val="24"/>
        </w:rPr>
        <w:t>甲乙双方以签订合同时各自法人登记注册地为有效的送达地址，如发生诉讼，该地址作为全部诉讼程序和执行程序的送达地址，具有发生在人民法院签署送达地址确认书的法律效力。如变更送达地址，需书面告知对方。</w:t>
      </w:r>
    </w:p>
    <w:p w14:paraId="77E26F69">
      <w:pPr>
        <w:adjustRightInd w:val="0"/>
        <w:snapToGrid w:val="0"/>
        <w:spacing w:line="360" w:lineRule="auto"/>
        <w:ind w:firstLine="482" w:firstLineChars="200"/>
        <w:rPr>
          <w:rFonts w:ascii="宋体" w:hAnsi="宋体"/>
          <w:b/>
          <w:sz w:val="24"/>
        </w:rPr>
      </w:pPr>
      <w:r>
        <w:rPr>
          <w:rFonts w:hint="eastAsia" w:ascii="宋体" w:hAnsi="宋体"/>
          <w:b/>
          <w:sz w:val="24"/>
        </w:rPr>
        <w:t>十</w:t>
      </w:r>
      <w:r>
        <w:rPr>
          <w:rFonts w:hint="eastAsia" w:ascii="宋体" w:hAnsi="宋体"/>
          <w:b/>
          <w:sz w:val="24"/>
          <w:lang w:val="en-US" w:eastAsia="zh-CN"/>
        </w:rPr>
        <w:t>二</w:t>
      </w:r>
      <w:r>
        <w:rPr>
          <w:rFonts w:hint="eastAsia" w:ascii="宋体" w:hAnsi="宋体"/>
          <w:b/>
          <w:sz w:val="24"/>
        </w:rPr>
        <w:t>、合同生效及其他</w:t>
      </w:r>
    </w:p>
    <w:p w14:paraId="44D90F7F">
      <w:pPr>
        <w:adjustRightInd w:val="0"/>
        <w:snapToGrid w:val="0"/>
        <w:spacing w:line="360" w:lineRule="auto"/>
        <w:ind w:firstLine="480" w:firstLineChars="200"/>
        <w:rPr>
          <w:rFonts w:ascii="宋体" w:hAnsi="宋体" w:cs="仿宋"/>
          <w:sz w:val="24"/>
        </w:rPr>
      </w:pPr>
      <w:r>
        <w:rPr>
          <w:rFonts w:hint="eastAsia" w:ascii="宋体" w:hAnsi="宋体"/>
          <w:sz w:val="24"/>
        </w:rPr>
        <w:t xml:space="preserve">1.本合同一式陆份，甲方肆份、乙方贰份，经甲乙双方代表签字、加盖公章后生效,合同履行完成后自行终止。  </w:t>
      </w:r>
      <w:r>
        <w:rPr>
          <w:rFonts w:hint="eastAsia" w:ascii="宋体" w:hAnsi="宋体" w:cs="仿宋"/>
          <w:sz w:val="24"/>
        </w:rPr>
        <w:t>招标（采购）和投标（响应性）文件为本合同组成部分。</w:t>
      </w:r>
    </w:p>
    <w:p w14:paraId="56345AD2">
      <w:pPr>
        <w:spacing w:line="360" w:lineRule="auto"/>
        <w:ind w:firstLine="480" w:firstLineChars="200"/>
        <w:rPr>
          <w:rFonts w:ascii="宋体" w:hAnsi="宋体" w:cs="仿宋"/>
          <w:sz w:val="24"/>
        </w:rPr>
      </w:pPr>
      <w:r>
        <w:rPr>
          <w:rFonts w:hint="eastAsia" w:ascii="宋体" w:hAnsi="宋体" w:cs="仿宋"/>
          <w:sz w:val="24"/>
        </w:rPr>
        <w:t>2. 组成本合同的文件及解释顺序为：本合同及补充条款、中标通知书、投标（响应性）文件及其附件；招标（采购）文件及补充通知。如果乙方的投标（响应性）文件及其附件高于国家行业标准的，以投标文件及其附件为准。</w:t>
      </w:r>
    </w:p>
    <w:p w14:paraId="318D0268">
      <w:pPr>
        <w:spacing w:line="360" w:lineRule="auto"/>
        <w:ind w:firstLine="480" w:firstLineChars="200"/>
        <w:rPr>
          <w:rFonts w:ascii="宋体" w:hAnsi="宋体"/>
          <w:sz w:val="24"/>
        </w:rPr>
      </w:pPr>
      <w:r>
        <w:rPr>
          <w:rFonts w:hint="eastAsia" w:ascii="宋体" w:hAnsi="宋体"/>
          <w:sz w:val="24"/>
        </w:rPr>
        <w:t>3. 本合同生效之后，任何一方违反本合同规定，除了承担违约</w:t>
      </w:r>
      <w:r>
        <w:rPr>
          <w:rFonts w:hint="eastAsia" w:ascii="宋体" w:hAnsi="宋体"/>
          <w:sz w:val="24"/>
          <w:lang w:val="en-US" w:eastAsia="zh-CN"/>
        </w:rPr>
        <w:t>责任</w:t>
      </w:r>
      <w:r>
        <w:rPr>
          <w:rFonts w:hint="eastAsia" w:ascii="宋体" w:hAnsi="宋体"/>
          <w:sz w:val="24"/>
        </w:rPr>
        <w:t>外，还要承担守约方向违约方追究违约责任所支付的一切费用，包括但不限于律师费、诉讼费、保全费、公告费、鉴定费、交通食宿费等。</w:t>
      </w:r>
    </w:p>
    <w:p w14:paraId="09A21AA3">
      <w:pPr>
        <w:spacing w:line="360" w:lineRule="auto"/>
        <w:ind w:firstLine="480" w:firstLineChars="200"/>
        <w:rPr>
          <w:rFonts w:ascii="宋体" w:hAnsi="宋体"/>
          <w:sz w:val="24"/>
        </w:rPr>
      </w:pPr>
      <w:r>
        <w:rPr>
          <w:rFonts w:hint="eastAsia" w:ascii="宋体" w:hAnsi="宋体"/>
          <w:sz w:val="24"/>
        </w:rPr>
        <w:t>4. 本合同未尽事宜，供需双方可签订补充协议，与本合同具有同等法律效力。</w:t>
      </w:r>
    </w:p>
    <w:p w14:paraId="2AE4A44D">
      <w:pPr>
        <w:adjustRightInd w:val="0"/>
        <w:snapToGrid w:val="0"/>
        <w:spacing w:line="360" w:lineRule="auto"/>
        <w:ind w:firstLine="480" w:firstLineChars="200"/>
        <w:rPr>
          <w:rFonts w:ascii="宋体" w:hAnsi="宋体"/>
          <w:sz w:val="24"/>
        </w:rPr>
      </w:pPr>
      <w:r>
        <w:rPr>
          <w:rFonts w:hint="eastAsia" w:ascii="宋体" w:hAnsi="宋体"/>
          <w:sz w:val="24"/>
        </w:rPr>
        <w:t>（下无正文）</w:t>
      </w:r>
    </w:p>
    <w:p w14:paraId="6CE3E338">
      <w:pPr>
        <w:adjustRightInd w:val="0"/>
        <w:snapToGrid w:val="0"/>
        <w:spacing w:line="360" w:lineRule="auto"/>
        <w:ind w:firstLine="480" w:firstLineChars="200"/>
        <w:rPr>
          <w:rFonts w:ascii="宋体" w:hAnsi="宋体"/>
          <w:sz w:val="24"/>
        </w:rPr>
      </w:pPr>
    </w:p>
    <w:p w14:paraId="207FE395">
      <w:pPr>
        <w:adjustRightInd w:val="0"/>
        <w:snapToGrid w:val="0"/>
        <w:spacing w:line="360" w:lineRule="auto"/>
        <w:rPr>
          <w:rFonts w:ascii="宋体" w:hAnsi="宋体"/>
          <w:sz w:val="24"/>
        </w:rPr>
      </w:pPr>
      <w:r>
        <w:rPr>
          <w:rFonts w:hint="eastAsia" w:ascii="宋体" w:hAnsi="宋体"/>
          <w:sz w:val="24"/>
        </w:rPr>
        <w:t>甲方：河南师范大学                    乙方：</w:t>
      </w:r>
    </w:p>
    <w:p w14:paraId="654A9B26">
      <w:pPr>
        <w:adjustRightInd w:val="0"/>
        <w:snapToGrid w:val="0"/>
        <w:spacing w:after="156" w:afterLines="50" w:line="360" w:lineRule="auto"/>
        <w:rPr>
          <w:rFonts w:ascii="宋体" w:hAnsi="宋体"/>
          <w:sz w:val="24"/>
        </w:rPr>
      </w:pPr>
      <w:r>
        <w:rPr>
          <w:rFonts w:hint="eastAsia" w:ascii="宋体" w:hAnsi="宋体"/>
          <w:sz w:val="24"/>
        </w:rPr>
        <w:t xml:space="preserve">委托代理人签字：                      委托代理人签字：                    </w:t>
      </w:r>
    </w:p>
    <w:p w14:paraId="7A2F00B4">
      <w:pPr>
        <w:adjustRightInd w:val="0"/>
        <w:snapToGrid w:val="0"/>
        <w:spacing w:line="360" w:lineRule="auto"/>
        <w:rPr>
          <w:rFonts w:ascii="宋体" w:hAnsi="宋体"/>
          <w:sz w:val="24"/>
        </w:rPr>
      </w:pPr>
      <w:r>
        <w:rPr>
          <w:rFonts w:hint="eastAsia" w:ascii="宋体" w:hAnsi="宋体"/>
          <w:sz w:val="24"/>
        </w:rPr>
        <w:t>地址：新乡市牧野区建设东路46号       地址：</w:t>
      </w:r>
    </w:p>
    <w:p w14:paraId="783AFBEA">
      <w:pPr>
        <w:adjustRightInd w:val="0"/>
        <w:snapToGrid w:val="0"/>
        <w:spacing w:line="360" w:lineRule="auto"/>
        <w:rPr>
          <w:rFonts w:ascii="宋体" w:hAnsi="宋体"/>
          <w:sz w:val="24"/>
        </w:rPr>
      </w:pPr>
      <w:r>
        <w:rPr>
          <w:rFonts w:hint="eastAsia" w:ascii="宋体" w:hAnsi="宋体"/>
          <w:sz w:val="24"/>
        </w:rPr>
        <w:t>电话：                                电话：</w:t>
      </w:r>
    </w:p>
    <w:p w14:paraId="09DF2A09">
      <w:pPr>
        <w:adjustRightInd w:val="0"/>
        <w:snapToGrid w:val="0"/>
        <w:spacing w:line="360" w:lineRule="auto"/>
        <w:rPr>
          <w:rFonts w:ascii="宋体" w:hAnsi="宋体"/>
          <w:sz w:val="24"/>
        </w:rPr>
      </w:pPr>
      <w:r>
        <w:rPr>
          <w:rFonts w:hint="eastAsia" w:ascii="宋体" w:hAnsi="宋体"/>
          <w:sz w:val="24"/>
        </w:rPr>
        <w:t xml:space="preserve">开户银行：建行新乡分行北干道支行      开户银行： </w:t>
      </w:r>
    </w:p>
    <w:p w14:paraId="515C4FA5">
      <w:pPr>
        <w:adjustRightInd w:val="0"/>
        <w:snapToGrid w:val="0"/>
        <w:spacing w:line="360" w:lineRule="auto"/>
        <w:rPr>
          <w:rFonts w:ascii="宋体" w:hAnsi="宋体"/>
          <w:sz w:val="24"/>
        </w:rPr>
      </w:pPr>
      <w:r>
        <w:rPr>
          <w:rFonts w:hint="eastAsia" w:ascii="宋体" w:hAnsi="宋体"/>
          <w:sz w:val="24"/>
        </w:rPr>
        <w:t>账号：4100 1562 7100 5020 0486        账号：</w:t>
      </w:r>
    </w:p>
    <w:sectPr>
      <w:footerReference r:id="rId3" w:type="default"/>
      <w:pgSz w:w="11906" w:h="16838"/>
      <w:pgMar w:top="158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swiss"/>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37127"/>
      <w:docPartObj>
        <w:docPartGallery w:val="AutoText"/>
      </w:docPartObj>
    </w:sdtPr>
    <w:sdtContent>
      <w:p w14:paraId="5DB4D381">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7D22D852">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zY3NDA4ZTNlYzUxZGFkNmY0YzM0ZTNiOThhMDMifQ=="/>
  </w:docVars>
  <w:rsids>
    <w:rsidRoot w:val="007A4307"/>
    <w:rsid w:val="00001055"/>
    <w:rsid w:val="000038EB"/>
    <w:rsid w:val="00007ED0"/>
    <w:rsid w:val="00011A46"/>
    <w:rsid w:val="000147E5"/>
    <w:rsid w:val="00020958"/>
    <w:rsid w:val="00027736"/>
    <w:rsid w:val="00060246"/>
    <w:rsid w:val="00076086"/>
    <w:rsid w:val="000A7773"/>
    <w:rsid w:val="000C0CE4"/>
    <w:rsid w:val="000E3F45"/>
    <w:rsid w:val="000E4455"/>
    <w:rsid w:val="000F2EEE"/>
    <w:rsid w:val="000F5DD3"/>
    <w:rsid w:val="000F73B1"/>
    <w:rsid w:val="001022F0"/>
    <w:rsid w:val="001071ED"/>
    <w:rsid w:val="00125EAE"/>
    <w:rsid w:val="001416BB"/>
    <w:rsid w:val="00141A27"/>
    <w:rsid w:val="001472CC"/>
    <w:rsid w:val="001510F4"/>
    <w:rsid w:val="0015474A"/>
    <w:rsid w:val="00155158"/>
    <w:rsid w:val="0016193E"/>
    <w:rsid w:val="001A294E"/>
    <w:rsid w:val="001A4068"/>
    <w:rsid w:val="001A6E92"/>
    <w:rsid w:val="001B30B5"/>
    <w:rsid w:val="001E3B66"/>
    <w:rsid w:val="001F3D53"/>
    <w:rsid w:val="001F755C"/>
    <w:rsid w:val="00205B98"/>
    <w:rsid w:val="00207B9E"/>
    <w:rsid w:val="00211906"/>
    <w:rsid w:val="00216BF9"/>
    <w:rsid w:val="00223038"/>
    <w:rsid w:val="00232ECD"/>
    <w:rsid w:val="0025331F"/>
    <w:rsid w:val="0025502C"/>
    <w:rsid w:val="00255503"/>
    <w:rsid w:val="00255F97"/>
    <w:rsid w:val="00275148"/>
    <w:rsid w:val="00275FCD"/>
    <w:rsid w:val="002929D3"/>
    <w:rsid w:val="00295D1E"/>
    <w:rsid w:val="00296494"/>
    <w:rsid w:val="002973E7"/>
    <w:rsid w:val="002A2480"/>
    <w:rsid w:val="002B481F"/>
    <w:rsid w:val="002C7344"/>
    <w:rsid w:val="002F04C3"/>
    <w:rsid w:val="00321F69"/>
    <w:rsid w:val="00326435"/>
    <w:rsid w:val="00331574"/>
    <w:rsid w:val="003328CC"/>
    <w:rsid w:val="003461A3"/>
    <w:rsid w:val="00350527"/>
    <w:rsid w:val="0035096D"/>
    <w:rsid w:val="0035142B"/>
    <w:rsid w:val="00353C7D"/>
    <w:rsid w:val="00357BB7"/>
    <w:rsid w:val="00364163"/>
    <w:rsid w:val="0037164D"/>
    <w:rsid w:val="003812AA"/>
    <w:rsid w:val="00392E64"/>
    <w:rsid w:val="00396AD1"/>
    <w:rsid w:val="003B79DE"/>
    <w:rsid w:val="003C1405"/>
    <w:rsid w:val="003C788F"/>
    <w:rsid w:val="003E5A92"/>
    <w:rsid w:val="003F1621"/>
    <w:rsid w:val="003F3B34"/>
    <w:rsid w:val="003F651C"/>
    <w:rsid w:val="003F7497"/>
    <w:rsid w:val="00405138"/>
    <w:rsid w:val="00410CE3"/>
    <w:rsid w:val="00421105"/>
    <w:rsid w:val="0043434B"/>
    <w:rsid w:val="00444DB7"/>
    <w:rsid w:val="00450515"/>
    <w:rsid w:val="004606DA"/>
    <w:rsid w:val="0048497E"/>
    <w:rsid w:val="00496371"/>
    <w:rsid w:val="004A7725"/>
    <w:rsid w:val="004C56F7"/>
    <w:rsid w:val="004C600D"/>
    <w:rsid w:val="004C69C5"/>
    <w:rsid w:val="004D386F"/>
    <w:rsid w:val="004D77C3"/>
    <w:rsid w:val="004D7BE5"/>
    <w:rsid w:val="004E19EA"/>
    <w:rsid w:val="004E523E"/>
    <w:rsid w:val="00514E15"/>
    <w:rsid w:val="00556084"/>
    <w:rsid w:val="005563BE"/>
    <w:rsid w:val="00556FB4"/>
    <w:rsid w:val="0056712E"/>
    <w:rsid w:val="00567E05"/>
    <w:rsid w:val="0057714D"/>
    <w:rsid w:val="005868BC"/>
    <w:rsid w:val="005B49A6"/>
    <w:rsid w:val="005B5616"/>
    <w:rsid w:val="005D1EB2"/>
    <w:rsid w:val="005D1FC0"/>
    <w:rsid w:val="005D47FC"/>
    <w:rsid w:val="005E0EAC"/>
    <w:rsid w:val="006117D2"/>
    <w:rsid w:val="00636106"/>
    <w:rsid w:val="00637EBA"/>
    <w:rsid w:val="0067256E"/>
    <w:rsid w:val="00672F15"/>
    <w:rsid w:val="00673AB7"/>
    <w:rsid w:val="0067722E"/>
    <w:rsid w:val="00686026"/>
    <w:rsid w:val="006952AF"/>
    <w:rsid w:val="006A2904"/>
    <w:rsid w:val="006A5B38"/>
    <w:rsid w:val="006D3041"/>
    <w:rsid w:val="006E0AC3"/>
    <w:rsid w:val="006E3AF1"/>
    <w:rsid w:val="006E7334"/>
    <w:rsid w:val="006F3DF7"/>
    <w:rsid w:val="006F50CB"/>
    <w:rsid w:val="006F6108"/>
    <w:rsid w:val="0073088E"/>
    <w:rsid w:val="0073363F"/>
    <w:rsid w:val="00743AA5"/>
    <w:rsid w:val="007512B5"/>
    <w:rsid w:val="0076145C"/>
    <w:rsid w:val="00764924"/>
    <w:rsid w:val="0076551C"/>
    <w:rsid w:val="00784FC4"/>
    <w:rsid w:val="00786CDD"/>
    <w:rsid w:val="007A4307"/>
    <w:rsid w:val="007C37B0"/>
    <w:rsid w:val="007C4A28"/>
    <w:rsid w:val="00805354"/>
    <w:rsid w:val="00806738"/>
    <w:rsid w:val="00812406"/>
    <w:rsid w:val="00813F2B"/>
    <w:rsid w:val="00817ECB"/>
    <w:rsid w:val="00823B50"/>
    <w:rsid w:val="00830AF1"/>
    <w:rsid w:val="00833BCF"/>
    <w:rsid w:val="00850FBE"/>
    <w:rsid w:val="00852085"/>
    <w:rsid w:val="008617F4"/>
    <w:rsid w:val="008626E1"/>
    <w:rsid w:val="00863FAE"/>
    <w:rsid w:val="00875A48"/>
    <w:rsid w:val="0087691C"/>
    <w:rsid w:val="008800BB"/>
    <w:rsid w:val="00880CC2"/>
    <w:rsid w:val="00884F1D"/>
    <w:rsid w:val="0088505F"/>
    <w:rsid w:val="00885717"/>
    <w:rsid w:val="00890E3A"/>
    <w:rsid w:val="00895127"/>
    <w:rsid w:val="008C459A"/>
    <w:rsid w:val="008D5B80"/>
    <w:rsid w:val="008E0A84"/>
    <w:rsid w:val="008E0EE1"/>
    <w:rsid w:val="00902238"/>
    <w:rsid w:val="0091101F"/>
    <w:rsid w:val="009112CC"/>
    <w:rsid w:val="00922DAC"/>
    <w:rsid w:val="0092363F"/>
    <w:rsid w:val="009278EB"/>
    <w:rsid w:val="009358CD"/>
    <w:rsid w:val="00937CC3"/>
    <w:rsid w:val="0094014D"/>
    <w:rsid w:val="009417D1"/>
    <w:rsid w:val="0095554D"/>
    <w:rsid w:val="00964412"/>
    <w:rsid w:val="00983E35"/>
    <w:rsid w:val="00984A37"/>
    <w:rsid w:val="00992541"/>
    <w:rsid w:val="009964B6"/>
    <w:rsid w:val="009A2120"/>
    <w:rsid w:val="009A4ABC"/>
    <w:rsid w:val="009A6BA1"/>
    <w:rsid w:val="009B5B6E"/>
    <w:rsid w:val="009C3A2F"/>
    <w:rsid w:val="009D0D35"/>
    <w:rsid w:val="009D5BA5"/>
    <w:rsid w:val="009E40C9"/>
    <w:rsid w:val="009E4143"/>
    <w:rsid w:val="009E4875"/>
    <w:rsid w:val="009F5B1A"/>
    <w:rsid w:val="00A22C68"/>
    <w:rsid w:val="00A30E51"/>
    <w:rsid w:val="00A336FD"/>
    <w:rsid w:val="00A4649E"/>
    <w:rsid w:val="00A57607"/>
    <w:rsid w:val="00A70B23"/>
    <w:rsid w:val="00A978ED"/>
    <w:rsid w:val="00AA5952"/>
    <w:rsid w:val="00AC4B86"/>
    <w:rsid w:val="00AD3312"/>
    <w:rsid w:val="00AD47D1"/>
    <w:rsid w:val="00AD70FC"/>
    <w:rsid w:val="00B02CC3"/>
    <w:rsid w:val="00B05543"/>
    <w:rsid w:val="00B233EE"/>
    <w:rsid w:val="00B34098"/>
    <w:rsid w:val="00B37115"/>
    <w:rsid w:val="00B62E3D"/>
    <w:rsid w:val="00B657C8"/>
    <w:rsid w:val="00B8439E"/>
    <w:rsid w:val="00B9637A"/>
    <w:rsid w:val="00B97625"/>
    <w:rsid w:val="00BA2E1E"/>
    <w:rsid w:val="00BA6D88"/>
    <w:rsid w:val="00BB0FA0"/>
    <w:rsid w:val="00BC51CA"/>
    <w:rsid w:val="00BC796B"/>
    <w:rsid w:val="00BE2764"/>
    <w:rsid w:val="00BE5331"/>
    <w:rsid w:val="00BF0B2D"/>
    <w:rsid w:val="00C003F1"/>
    <w:rsid w:val="00C20969"/>
    <w:rsid w:val="00C2469E"/>
    <w:rsid w:val="00C45F02"/>
    <w:rsid w:val="00C634A2"/>
    <w:rsid w:val="00C65EBD"/>
    <w:rsid w:val="00C70AAA"/>
    <w:rsid w:val="00C719C6"/>
    <w:rsid w:val="00C75D17"/>
    <w:rsid w:val="00C823DF"/>
    <w:rsid w:val="00C8327B"/>
    <w:rsid w:val="00CA72DD"/>
    <w:rsid w:val="00CB48BC"/>
    <w:rsid w:val="00CB5BF0"/>
    <w:rsid w:val="00CC5E0A"/>
    <w:rsid w:val="00CC600C"/>
    <w:rsid w:val="00CD1EBE"/>
    <w:rsid w:val="00CE1B26"/>
    <w:rsid w:val="00CF0EB8"/>
    <w:rsid w:val="00CF6343"/>
    <w:rsid w:val="00D143D5"/>
    <w:rsid w:val="00D16A86"/>
    <w:rsid w:val="00D23EC9"/>
    <w:rsid w:val="00D26102"/>
    <w:rsid w:val="00D277DA"/>
    <w:rsid w:val="00D27C40"/>
    <w:rsid w:val="00D424DF"/>
    <w:rsid w:val="00D60D95"/>
    <w:rsid w:val="00D76D8C"/>
    <w:rsid w:val="00D776EA"/>
    <w:rsid w:val="00D84D72"/>
    <w:rsid w:val="00DA552B"/>
    <w:rsid w:val="00DA79C0"/>
    <w:rsid w:val="00DB2591"/>
    <w:rsid w:val="00DB3FD6"/>
    <w:rsid w:val="00DC64AD"/>
    <w:rsid w:val="00DF4729"/>
    <w:rsid w:val="00E015BE"/>
    <w:rsid w:val="00E04ECD"/>
    <w:rsid w:val="00E0569F"/>
    <w:rsid w:val="00E07889"/>
    <w:rsid w:val="00E13577"/>
    <w:rsid w:val="00E17346"/>
    <w:rsid w:val="00E27999"/>
    <w:rsid w:val="00E6748F"/>
    <w:rsid w:val="00E71419"/>
    <w:rsid w:val="00E81E05"/>
    <w:rsid w:val="00EC227E"/>
    <w:rsid w:val="00ED21B8"/>
    <w:rsid w:val="00ED671B"/>
    <w:rsid w:val="00EE1B80"/>
    <w:rsid w:val="00EE2559"/>
    <w:rsid w:val="00EE4BE8"/>
    <w:rsid w:val="00F01603"/>
    <w:rsid w:val="00F35011"/>
    <w:rsid w:val="00F543EF"/>
    <w:rsid w:val="00F6173C"/>
    <w:rsid w:val="00F80AE8"/>
    <w:rsid w:val="00F84D82"/>
    <w:rsid w:val="00F87B62"/>
    <w:rsid w:val="00F9157F"/>
    <w:rsid w:val="00FA168F"/>
    <w:rsid w:val="00FA511B"/>
    <w:rsid w:val="00FC517C"/>
    <w:rsid w:val="00FD608F"/>
    <w:rsid w:val="00FE1C21"/>
    <w:rsid w:val="0CA02447"/>
    <w:rsid w:val="0D5A25F6"/>
    <w:rsid w:val="1DB7139E"/>
    <w:rsid w:val="283B3809"/>
    <w:rsid w:val="2E8A625D"/>
    <w:rsid w:val="3BAB09A2"/>
    <w:rsid w:val="3CE0020B"/>
    <w:rsid w:val="531B5950"/>
    <w:rsid w:val="660404C6"/>
    <w:rsid w:val="74512B28"/>
    <w:rsid w:val="7DD22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2"/>
      <w:szCs w:val="22"/>
      <w:lang w:val="en-US" w:eastAsia="zh-CN" w:bidi="ar-SA"/>
    </w:rPr>
  </w:style>
  <w:style w:type="paragraph" w:styleId="2">
    <w:name w:val="heading 1"/>
    <w:basedOn w:val="1"/>
    <w:next w:val="1"/>
    <w:link w:val="9"/>
    <w:qFormat/>
    <w:uiPriority w:val="0"/>
    <w:pPr>
      <w:keepNext/>
      <w:keepLines/>
      <w:widowControl w:val="0"/>
      <w:spacing w:before="340" w:after="330" w:line="578" w:lineRule="auto"/>
      <w:jc w:val="center"/>
      <w:outlineLvl w:val="0"/>
    </w:pPr>
    <w:rPr>
      <w:rFonts w:ascii="Calibri" w:hAnsi="Calibri" w:eastAsia="楷体_GB2312"/>
      <w:b/>
      <w:kern w:val="44"/>
      <w:sz w:val="44"/>
      <w:szCs w:val="2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rFonts w:ascii="Times New Roman" w:hAnsi="Times New Roman" w:cs="Times New Roman"/>
      <w:kern w:val="0"/>
      <w:sz w:val="18"/>
      <w:szCs w:val="18"/>
    </w:rPr>
  </w:style>
  <w:style w:type="character" w:customStyle="1" w:styleId="8">
    <w:name w:val="页脚 字符"/>
    <w:basedOn w:val="6"/>
    <w:link w:val="3"/>
    <w:qFormat/>
    <w:uiPriority w:val="99"/>
    <w:rPr>
      <w:rFonts w:ascii="Times New Roman" w:hAnsi="Times New Roman" w:cs="Times New Roman"/>
      <w:kern w:val="0"/>
      <w:sz w:val="18"/>
      <w:szCs w:val="18"/>
    </w:rPr>
  </w:style>
  <w:style w:type="character" w:customStyle="1" w:styleId="9">
    <w:name w:val="标题 1 字符"/>
    <w:basedOn w:val="6"/>
    <w:link w:val="2"/>
    <w:qFormat/>
    <w:uiPriority w:val="0"/>
    <w:rPr>
      <w:rFonts w:ascii="Calibri" w:hAnsi="Calibri" w:eastAsia="楷体_GB2312" w:cs="Times New Roman"/>
      <w:b/>
      <w:kern w:val="44"/>
      <w:sz w:val="44"/>
      <w:szCs w:val="24"/>
    </w:rPr>
  </w:style>
  <w:style w:type="paragraph" w:styleId="10">
    <w:name w:val="List Paragraph"/>
    <w:basedOn w:val="1"/>
    <w:qFormat/>
    <w:uiPriority w:val="34"/>
    <w:pPr>
      <w:widowControl w:val="0"/>
      <w:ind w:firstLine="420" w:firstLineChars="200"/>
      <w:jc w:val="both"/>
    </w:pPr>
    <w:rPr>
      <w:rFonts w:eastAsia="宋体"/>
      <w:kern w:val="2"/>
      <w:sz w:val="21"/>
      <w:szCs w:val="21"/>
    </w:rPr>
  </w:style>
  <w:style w:type="paragraph" w:customStyle="1" w:styleId="11">
    <w:name w:val="正文 New"/>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FBB5B-C9C1-496E-A754-1A7AC8C65F5E}">
  <ds:schemaRefs/>
</ds:datastoreItem>
</file>

<file path=docProps/app.xml><?xml version="1.0" encoding="utf-8"?>
<Properties xmlns="http://schemas.openxmlformats.org/officeDocument/2006/extended-properties" xmlns:vt="http://schemas.openxmlformats.org/officeDocument/2006/docPropsVTypes">
  <Template>Normal</Template>
  <Pages>6</Pages>
  <Words>3110</Words>
  <Characters>3178</Characters>
  <Lines>27</Lines>
  <Paragraphs>7</Paragraphs>
  <TotalTime>0</TotalTime>
  <ScaleCrop>false</ScaleCrop>
  <LinksUpToDate>false</LinksUpToDate>
  <CharactersWithSpaces>3731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2021-07-02T08:30:00Z</dcterms:created>
  <dc:creator>lenovo</dc:creator>
  <cp:lastModifiedBy>沫沫</cp:lastModifiedBy>
  <dcterms:modified xsi:type="dcterms:W3CDTF">2024-10-16T02:10:10Z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505FD44041324DF7AB395D2D43026403_12</vt:lpwstr>
  </property>
</Properties>
</file>